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7a6e"/>
          <w:sz w:val="36"/>
          <w:szCs w:val="36"/>
        </w:rPr>
        <w:t xml:space="preserve">VitalMetrics – Experten-Review &amp; Aktionsplan</w:t>
      </w:r>
    </w:p>
    <w:p>
      <w:pPr>
        <w:spacing w:after="40"/>
      </w:pPr>
      <w:r>
        <w:rPr>
          <w:color w:val="555555"/>
          <w:sz w:val="24"/>
          <w:szCs w:val="24"/>
        </w:rPr>
        <w:t xml:space="preserve">Version 2 · 6 Experten-Perspektiven + Mediziner/Ernährungsberater (Runde 2) + DSGVO-Berater (Runde 3), zusammengeführter Aktionsplan mit Status, gemeinsame Schlussfolgerung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Aktualisiert am 21.07.2026 · Ursprungsversion 19.07.2026 · Ergänzt um Google-Play-Compliance, DSGVO-Bewertung der Erinnerungen und die Content-Prüfung durch Mediziner und Ernährungsberater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20"/>
      </w:pPr>
      <w:r>
        <w:t xml:space="preserve">1. Was fehlt und echter Mehrwert — je Experte</w:t>
      </w:r>
    </w:p>
    <w:p>
      <w:pPr>
        <w:pStyle w:val="Heading2"/>
        <w:spacing w:after="120" w:before="240"/>
      </w:pPr>
      <w:r>
        <w:t xml:space="preserve">Ernährungsexpertin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Nährstoff-Interaktionen fehlen komplett (Zink hemmt Kupferaufnahme, Calcium hemmt Eisenaufnahme, hochdosiertes Vitamin E beeinflusst Blutgerinnung).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 Diagnosen-Feld wird aktuell nirgends genutzt – größte ungenutzte Chance: Wechselwirkungs-Hinweise zu Medikamenten anzeigen, wenn eine passende Diagnose hinterlegt 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Einheiten-Normalisierung fehlt (z. B. Vitamin D in ng/mL vs. nmol/L je nach Labor).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Trend-Kontext wird nicht ausgespielt, obwohl die Chart-Infrastruktur vorhanden 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Saisonale Hinweise fehlen (Vitamin D im Winter vs. Sommer).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Der geplante Longevity-Score braucht eine nachvollziehbare Methodik, sonst wirkt er wie ein medizinischer Risikoscore.</w:t>
      </w:r>
    </w:p>
    <w:p>
      <w:pPr>
        <w:pStyle w:val="Heading2"/>
        <w:spacing w:after="120" w:before="240"/>
      </w:pPr>
      <w:r>
        <w:t xml:space="preserve">Anwalt (App-Recht / Affiliate / Play Store)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Amazon PartnerNet verlangt für Affiliate-Links in Apps eine gesondert beantragte Zugelassene Mobile Anwendung. Das Freemium-Modell verstieß gegen die Voraussetzung freien Zugriffs auf alle Amazon-Links, und der Code nutzte selbst gebaute Such-URLs statt der vorgeschriebenen Amazon-Tools – Käufe könnten aktuell gar nicht provisionsfähig sein.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Die Datenschutzerklärung beruft sich auf Art. 9 Abs. 2 lit. a DSGVO – im Code fehlt aber eine echte Consent-Screen vor der ersten Gesundheitsdateneingabe.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AGB fehlen weiterhin – mit echtem In-App-Kauf jetzt Pflicht statt Kür.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Kein strukturierter Datenexport (Art. 20 DSGVO).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Mehrwert: eine zentrale Health-Claims-Bibliothek als Single Source of Truth für App und TikTok-Content.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Positiv: Löschfunktion für Messwerte existiert bereits – Pluspunkt für Art. 17 DSGVO.</w:t>
      </w:r>
    </w:p>
    <w:p>
      <w:pPr>
        <w:pStyle w:val="Heading2"/>
        <w:spacing w:after="120" w:before="240"/>
      </w:pPr>
      <w:r>
        <w:t xml:space="preserve">Datenschutzexperte (DPO / DSFA)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Eine Datenschutz-Folgenabschätzung (DPIA, Art. 35 DSGVO) ist bei systematischer, umfangreicher Verarbeitung von Gesundheitsdaten (Art. 9) wahrscheinlich verpflichtend, sobald die App mit nennenswerter Nutzerzahl live geht – sollte vor breitem Public-Launch durchgeführt werden, nicht erst danach.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Die fehlende Consent-Screen ist aus DPO-Sicht nicht nur eine Lücke, sondern ein Blocker: ohne echte, dokumentierte Einwilligung steht die in der Datenschutzerklärung behauptete Rechtsgrundlage auf wackligen Füßen.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 freie Diagnosen-Textfeld kann unbeabsichtigt weitere besonders schützenswerte Angaben erfassen, die über den ursprünglichen Zweck hinausgehen – entweder auf eine definierte Auswahlliste begrenzen oder die Zweckbindung im Consent explizit benennen.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Ein internes Verzeichnis von Verarbeitungstätigkeiten (Art. 30 DSGVO) sollte dokumentiert werden, auch wenn alles lokal auf dem Gerät verarbeitet wird – die Anbieterin bleibt Verantwortliche für die App-Konzeption.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Mehrwert: die vorhandene Lösch-/Exportfunktion und die 100-Prozent-lokale Speicherung sind ein echtes Privacy-by-Design-Argument, das im Marketing bisher zu wenig genutzt wird.</w:t>
      </w:r>
    </w:p>
    <w:p>
      <w:pPr>
        <w:pStyle w:val="Heading2"/>
        <w:spacing w:after="120" w:before="240"/>
      </w:pPr>
      <w:r>
        <w:t xml:space="preserve">Regulatory-Affairs-Experte (Medizinprodukte / MDR)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Die App bewegt sich an der Grenze zwischen Wellness-App und Software als Medizinprodukt (EU-Verordnung 2017/745). Je mehr klinische Marker (Cortisol, Testosteron, hsCRP, HbA1c, Calprotectin) und interpretierende Scores (Longevity-Score) angeboten werden, desto höher das Risiko einer Umqualifizierung.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Wichtig: die Einstufung hängt nicht nur vom Code ab, sondern auch von der Marketingsprache (MDCG 2019-11 Leitfaden) – der geplante TikTok-Content und die Store-Beschreibung müssen konsistent zur Kein-Medizinprodukt-Position bleiben, sonst kann das Marketing selbst die Einstufung kippen.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Empfehlung: eine schriftliche Intended-Purpose-Begründung erstellen, bevor breiter vermarktet wird – Grundlage, auf der im Zweifel eine Behörde oder ein Wettbewerber prüfen würde.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Diese Einstufung sollte mit der Health-Claims-Prüfung des Anwalts in einem gemeinsamen Dokument zusammengeführt werden, da beide dieselbe Marketing- und Produktsprache betreffen.</w:t>
      </w:r>
    </w:p>
    <w:p>
      <w:pPr>
        <w:pStyle w:val="Heading2"/>
        <w:spacing w:after="120" w:before="240"/>
      </w:pPr>
      <w:r>
        <w:t xml:space="preserve">IT-Sicherheitsexperte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In-App-Käufe werden aktuell nur clientseitig über die Play-Billing-Bibliothek validiert, ohne erkennbare serverseitige Quittungsprüfung – gepatchte oder gerootete Geräte könnten Premium ohne Zahlung freischalten. Vor Skalierung: Google Play Integrity API einbinden, langfristig serverseitige Verifizierung.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Die gesamte Business-Logik (Referenzwerte, Premium-Check, Affiliate-Tag) liegt unobfuskiert im WebView-Bundle der APK und ist trivial extrahierbar und patchbar. proguard-rules.pro schützt nur die native Android-Schicht, nicht das JS/HTML-Bundle.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Keine zusätzliche Verschlüsselung der lokalen Gesundheitsdaten über die App-Sandbox hinaus erkennbar – bei Art.-9-Daten wäre eine zusätzliche Verschlüsselung (z. B. SQLCipher) ein sinnvolles Härtungsmaß.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Kein Crash-/Security-Monitoring – deckt sich mit dem Entwickler-Fund, ist aber auch aus Sicherheitssicht relevant, um Angriffe oder Fehlverhalten früh zu erkennen.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Positiv bestätigt: Keystore-Handling und CI-Secrets sind sauber über .gitignore und GitHub Secrets abgesichert.</w:t>
      </w:r>
    </w:p>
    <w:p>
      <w:pPr>
        <w:pStyle w:val="Heading2"/>
        <w:spacing w:after="120" w:before="240"/>
      </w:pPr>
      <w:r>
        <w:t xml:space="preserve">Erfahrener App-Entwickler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Die app/src-vs-Monolith-Frage bleibt Voraussetzung für jede Aufwandsschätzung. — Erledigt: app/src ist die aktive Architektur, Monolith abgelöst.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Keine automatisierten Tests, am wichtigsten für die Status-Berechnung (low/ok/high).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CI-Pipeline existiert bereits (build-release.yml), aber ohne Test-/Lint-Gate.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Kein Crash-/Fehler-Reporting – gerade jetzt vor echten Testern wertvoll.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Versions-/Doku-Drift: README nennt 1.0.0, Manifest steht bei 1.1.3.</w:t>
      </w:r>
    </w:p>
    <w:p>
      <w:pPr>
        <w:pStyle w:val="Heading2"/>
        <w:spacing w:after="120" w:before="240"/>
      </w:pPr>
      <w:r>
        <w:t xml:space="preserve">NEU (Runde 2) — Mediziner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Zentraler Fund: Fast der gesamte Vitamin-/Mineralstoff-Teil des Katalogs verwendet DGE-Zufuhrwerte (Tagesbedarf) als Referenzbereich für ein Feld, das wie ein Bluttest-Ergebnis wirkt. Betrifft 13 Vitamine plus die meisten Spurenelemente; echte Laborwerte (Ferritin, Homocystein, TSH, HbA1c u. a.) sind korrekt angelegt.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Melatonin und Berberin als Supplement-Empfehlungen ohne zugehörigen trackbaren Marker – medizinisch nicht sauber verankert, zusätzlich regulatorisch heikel (Melatonin ab 1 mg verschreibungspflichtig in Deutschland).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Neue BfR-Stellungnahme (3. September 2025) zu Risiken hochdosierter Vitamin-D-Einzelgaben – sollte als Warnhinweis ergänzt werden.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Calcium fehlt komplett als trackbarer Biomarker, obwohl das BLS-Datenfeld längst vorhanden 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Diagnosen-Feld weiterhin ungenutzt (deckt sich mit Fund der Ernährungsexpertin aus Runde 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Kein aktiver Hinweis bei kritischen Werten, kein Medikamenten-/Supplement-Feld, kein Referenzpunkt-Vergleich zum letzten Arztbesuch.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Positiv: Der neue PDF-Bericht deckt den häufigsten Patientenwunsch ("etwas zum Mitnehmen für den Arztbesuch") bereits ab.</w:t>
      </w:r>
    </w:p>
    <w:p>
      <w:pPr>
        <w:pStyle w:val="Heading2"/>
        <w:spacing w:after="120" w:before="240"/>
      </w:pPr>
      <w:r>
        <w:t xml:space="preserve">NEU (Runde 2) — Ernährungsberater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DGE hat im September 2025 die 3. Auflage der Referenzwerte veröffentlicht (inkl. Erratum Mai 2026) – Stichproben (Magnesium, Vitamin D) sind korrekt, vollständige Prüfung aller 44 Werte steht aus.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BLS-4.0-Integration und das "Ernährung zuerst"-Banner sind vorbildlich.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Nährstoff-Interaktionen fehlen weiterhin (deckt sich mit Runde-1-Fund).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Kein Mahlzeiten-/Wochenplan, keine Einkaufsliste.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Rezept-Datenbank (8 Rezepte für 16 Marker) steht in starkem Ungleichgewicht zur 7.140-Einträge-BLS-Datenbank.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Kein Tracking von Alkohol/Koffein trotz Erwähnung in Tipp-Texten als Aufnahmehemmer.</w:t>
      </w:r>
    </w:p>
    <w:p>
      <w:pPr>
        <w:pStyle w:val="Heading2"/>
        <w:spacing w:after="120" w:before="240"/>
      </w:pPr>
      <w:r>
        <w:t xml:space="preserve">NEU (Runde 3) — DSGVO-Berater (zusätzlich zum Datenschutzexperten)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Lokal geplante Erinnerungen (@capacitor/local-notifications) sind datenschutzrechtlich unkritisch, solange sie ohne Server/Dritte auskommen – deckt die bestehende Consent-Grundlage ab, wenn der Zweck dort ausdrücklich benannt wird.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Echtes Restrisiko liegt auf dem Sperrbildschirm: Benachrichtigungstexte dürfen keine konkreten Werte oder Marker-Namen zeigen (Art. 25 DSGVO, Privacy by Design).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Android verlangt ab Version 13 ohnehin eine explizite Laufzeit-Berechtigung für Benachrichtigungen – passt gut zur DSGVO-Freiwilligkeitsanforderung.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20"/>
      </w:pPr>
      <w:r>
        <w:t xml:space="preserve">2. Zusammengeführter Aktionsplan (mit Status)</w:t>
      </w:r>
    </w:p>
    <w:p>
      <w:pPr>
        <w:spacing w:after="140"/>
      </w:pPr>
      <w:r>
        <w:t xml:space="preserve">Nach Dringlichkeit sortiert. Phase 0 ist Voraussetzung für alles danach, Phase 1 ist zeitkritisch. Status-Legende: ✅ erledigt · 🔄 in Arbeit/beantragt · ⬜ offen · 🆕 offen, neu aus Runde 2/3.</w:t>
      </w:r>
    </w:p>
    <w:p>
      <w:pPr>
        <w:pStyle w:val="Heading2"/>
        <w:spacing w:after="120" w:before="240"/>
      </w:pPr>
      <w:r>
        <w:t xml:space="preserve">Phase 0 — Architektur-Entscheidung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7D32"/>
        </w:rPr>
        <w:t xml:space="preserve">ERLEDIGT — </w:t>
      </w:r>
      <w:r>
        <w:t xml:space="preserve">app/src als Architektur gewählt, Monolith vollständig abgelöst, alle Features portiert (Bewegung, Zyklus, Ernährung/BLS 4.0, Tools-Hub, PDF-Export).</w:t>
      </w:r>
    </w:p>
    <w:p>
      <w:pPr>
        <w:pStyle w:val="Heading2"/>
        <w:spacing w:after="120" w:before="240"/>
      </w:pPr>
      <w:r>
        <w:t xml:space="preserve">Phase 1 — Rechtlich und regulatorisch zeitkritisch (vor dem TikTok-Start)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E65100"/>
        </w:rPr>
        <w:t xml:space="preserve">IN ARBEIT — </w:t>
      </w:r>
      <w:r>
        <w:t xml:space="preserve">Amazon-Zulassung als Mobile Anwendung beantragt, Bestätigung steht noch aus.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7D32"/>
        </w:rPr>
        <w:t xml:space="preserve">ERLEDIGT — </w:t>
      </w:r>
      <w:r>
        <w:t xml:space="preserve">Diagnostiknahe Selbsttest-Links (Zonulin, Calprotectin, Cortisol, Testosteron, Mikrobiom, SCFA, Serotonin) entfernt.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66666"/>
        </w:rPr>
        <w:t xml:space="preserve">OFFEN — </w:t>
      </w:r>
      <w:r>
        <w:t xml:space="preserve">Melatonin- und Berberin-Einträge rechtlich prüfen lassen — durch Runde 3 verschärft: Empfehlung, die gesamte Amazon-Box vorerst nicht zu aktivieren, macht diesen Punkt weniger dringend, aber nicht überflüssig, falls die Box später doch aktiviert wird.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66666"/>
        </w:rPr>
        <w:t xml:space="preserve">OFFEN — </w:t>
      </w:r>
      <w:r>
        <w:t xml:space="preserve">Datenschutzerklärung um Open-Food-Facts-Datenfluss ergänzen.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66666"/>
        </w:rPr>
        <w:t xml:space="preserve">OFFEN — </w:t>
      </w:r>
      <w:r>
        <w:t xml:space="preserve">DPIA-Vorprüfung und MDR-Intended-Purpose-Dokument beauftragen.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71C1C"/>
        </w:rPr>
        <w:t xml:space="preserve">NEU, OFFEN — </w:t>
      </w:r>
      <w:r>
        <w:t xml:space="preserve">Google-Play-Health-Apps-Deklaration im Play Console ausfüllen (Policy &gt; App content) — bisher in keinem Review erfasst, gilt unabhängig von Notifications oder Amazon.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71C1C"/>
        </w:rPr>
        <w:t xml:space="preserve">NEU, OFFEN — </w:t>
      </w:r>
      <w:r>
        <w:t xml:space="preserve">Play-Console-Kontotyp prüfen (Individual vs. Organization) — unbestätigter Hinweis aus Fachblogs auf eine Organisationskonto-Pflicht für Health-Apps ab 28.01.2026, direkt in der eigenen Console verifizieren.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71C1C"/>
        </w:rPr>
        <w:t xml:space="preserve">NEU, OFFEN — </w:t>
      </w:r>
      <w:r>
        <w:t xml:space="preserve">Pflicht-Disclaimer ("kein Medizinprodukt …") gut sichtbar in den ersten Absatz der Store-Beschreibung aufnehmen.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71C1C"/>
        </w:rPr>
        <w:t xml:space="preserve">NEU, OFFEN — </w:t>
      </w:r>
      <w:r>
        <w:t xml:space="preserve">Wellness- statt Healthcare-Positionierung konsequent in Store-Listing, App-Texten und TikTok-Content durchziehen — Grundlage für die leichtere Google-Play-Kategorie "Health and fitness" statt "Medical".</w:t>
      </w:r>
    </w:p>
    <w:p>
      <w:pPr>
        <w:pStyle w:val="Heading2"/>
        <w:spacing w:after="120" w:before="240"/>
      </w:pPr>
      <w:r>
        <w:t xml:space="preserve">Phase 2 — Empfehlungslogik und Datenschutz entkoppeln (2–3 Wochen)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E7D32"/>
        </w:rPr>
        <w:t xml:space="preserve">ERLEDIGT — </w:t>
      </w:r>
      <w:r>
        <w:t xml:space="preserve">Status-Anzeige und Kauf-Button strukturell getrennt (Entscheidung 2: Tracking frei für alle, Premium schaltet nur noch Verlauf/Einordnung frei).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66666"/>
        </w:rPr>
        <w:t xml:space="preserve">OFFEN — </w:t>
      </w:r>
      <w:r>
        <w:t xml:space="preserve">Echte Consent-Screen vor Gesundheitsdateneingabe einbauen.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66666"/>
        </w:rPr>
        <w:t xml:space="preserve">OFFEN — </w:t>
      </w:r>
      <w:r>
        <w:t xml:space="preserve">Diagnosen-Freitextfeld auf Datenminimierung prüfen.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66666"/>
        </w:rPr>
        <w:t xml:space="preserve">OFFEN — </w:t>
      </w:r>
      <w:r>
        <w:t xml:space="preserve">AGB erstellen und verlinken.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71C1C"/>
        </w:rPr>
        <w:t xml:space="preserve">NEU, OFFEN — </w:t>
      </w:r>
      <w:r>
        <w:t xml:space="preserve">Datenschutzerklärung als öffentliche, nicht-editierbare Webseite bereitstellen (kein PDF), identisch in Play Console/App/Website verlinkt.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71C1C"/>
        </w:rPr>
        <w:t xml:space="preserve">NEU, OFFEN — </w:t>
      </w:r>
      <w:r>
        <w:t xml:space="preserve">Erinnerungs-Zweck ("Push-Benachrichtigungen fürs Tracking") in Consent-Screen und Datenschutzerklärung mit aufnehmen, bevor Notifications gebaut werden.</w:t>
      </w:r>
    </w:p>
    <w:p>
      <w:pPr>
        <w:pStyle w:val="Heading2"/>
        <w:spacing w:after="120" w:before="240"/>
      </w:pPr>
      <w:r>
        <w:t xml:space="preserve">Phase 3 — Entwickler- und Sicherheits-Fundament (parallel)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66666"/>
        </w:rPr>
        <w:t xml:space="preserve">OFFEN — </w:t>
      </w:r>
      <w:r>
        <w:t xml:space="preserve">Unit-Tests für Status-/Referenzbereich-Berechnung.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66666"/>
        </w:rPr>
        <w:t xml:space="preserve">OFFEN — </w:t>
      </w:r>
      <w:r>
        <w:t xml:space="preserve">Google Play Integrity API für IAP-Validierung einbinden.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66666"/>
        </w:rPr>
        <w:t xml:space="preserve">OFFEN — </w:t>
      </w:r>
      <w:r>
        <w:t xml:space="preserve">JS/HTML-Bundle minifizieren und obfuskieren.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66666"/>
        </w:rPr>
        <w:t xml:space="preserve">OFFEN — </w:t>
      </w:r>
      <w:r>
        <w:t xml:space="preserve">Versions-Update fest in den Release-Workflow aufnehmen.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71C1C"/>
        </w:rPr>
        <w:t xml:space="preserve">NEU, OFFEN — </w:t>
      </w:r>
      <w:r>
        <w:t xml:space="preserve">Push-Notifications implementieren (lokal, neutrale Texte) — App-Entwickler schätzt 1–2 Tage für die Grundfunktion, da @capacitor/local-notifications bereits installiert ist.</w:t>
      </w:r>
    </w:p>
    <w:p>
      <w:pPr>
        <w:pStyle w:val="Heading2"/>
        <w:spacing w:after="120" w:before="240"/>
      </w:pPr>
      <w:r>
        <w:t xml:space="preserve">Phase 4 — Echter Mehrwert (nach den kritischen Fixes)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66666"/>
        </w:rPr>
        <w:t xml:space="preserve">OFFEN — </w:t>
      </w:r>
      <w:r>
        <w:t xml:space="preserve">Nährstoff- und Medikamenten-Interaktionswarnungen auf Basis des Diagnose-Felds.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666666"/>
        </w:rPr>
        <w:t xml:space="preserve">OFFEN — </w:t>
      </w:r>
      <w:r>
        <w:t xml:space="preserve">Trend-aware Hinweise, saisonale Hinweise, zentrale Health-Claims-Bibliothek.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71C1C"/>
        </w:rPr>
        <w:t xml:space="preserve">NEU, OFFEN — </w:t>
      </w:r>
      <w:r>
        <w:t xml:space="preserve">Zufuhr- vs. Laborwert-Reframing umsetzen (Vitamine/Mineralstoffe als tägliches Zufuhr-Tracking statt Laborwert-Eintragung — verschmilzt mit dem Ernährungstagebuch).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71C1C"/>
        </w:rPr>
        <w:t xml:space="preserve">NEU, OFFEN — </w:t>
      </w:r>
      <w:r>
        <w:t xml:space="preserve">Calcium als eigenen Biomarker ergänzen.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71C1C"/>
        </w:rPr>
        <w:t xml:space="preserve">NEU, OFFEN — </w:t>
      </w:r>
      <w:r>
        <w:t xml:space="preserve">Alle 44 Referenzwerte gegen die DGE-Referenzwerte, 3. Auflage (September 2025), gegenprüfen.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71C1C"/>
        </w:rPr>
        <w:t xml:space="preserve">NEU, OFFEN — </w:t>
      </w:r>
      <w:r>
        <w:t xml:space="preserve">BfR-Warnhinweis zu Vitamin-D-Hochdosen als Tipp ergänzen.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71C1C"/>
        </w:rPr>
        <w:t xml:space="preserve">NEU, OFFEN — </w:t>
      </w:r>
      <w:r>
        <w:t xml:space="preserve">Wochenrückblick-Screen (Bewegung, Ernährung, Fasten) als neues Nutzungs-Ritual.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71C1C"/>
        </w:rPr>
        <w:t xml:space="preserve">NEU, OFFEN — </w:t>
      </w:r>
      <w:r>
        <w:t xml:space="preserve">Erweiterte Rezept-Datenbank, angepasst an die Größe der BLS-4.0-Datenbank.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71C1C"/>
        </w:rPr>
        <w:t xml:space="preserve">NEU, OFFEN — </w:t>
      </w:r>
      <w:r>
        <w:t xml:space="preserve">Medikamenten-/Supplement-Feld mit Wechselwirkungshinweisen.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71C1C"/>
        </w:rPr>
        <w:t xml:space="preserve">NEU, OFFEN — </w:t>
      </w:r>
      <w:r>
        <w:t xml:space="preserve">Alternative Umsatzideen vertiefen, falls die Amazon-Box dauerhaft nicht aktiviert wird (Premium-Fokus, Kooperationen, eigene Inhalte).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20"/>
      </w:pPr>
      <w:r>
        <w:t xml:space="preserve">3. Rechtssichere Lösungswege für die Kernprobleme</w:t>
      </w:r>
    </w:p>
    <w:p>
      <w:pPr>
        <w:spacing w:after="140"/>
      </w:pPr>
      <w:r>
        <w:t xml:space="preserve">Wird nach den externen Prüfungen (Entscheidung 5) mit konkreten, rechtssicheren Formulierungen gefüllt — hängt von Anwalt, Datenschutzberater und Regulatory-Affairs-Berater ab.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20"/>
      </w:pPr>
      <w:r>
        <w:t xml:space="preserve">4. Gemeinsame Schlussfolgerung der Expertenrunde</w:t>
      </w:r>
    </w:p>
    <w:p>
      <w:pPr>
        <w:spacing w:after="140"/>
      </w:pPr>
      <w:r>
        <w:t xml:space="preserve">Alle Perspektiven zusammengeführt zu einer Antwort auf die Frage: wie kommt die App sicher an den Start?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Geschlossener Test (12 Tester, 14 Tage) kann sofort starten – unabhängig von Amazon-Zulassung, TikTok-Content und den rechtlichen Prüfungen, weil dabei weder Affiliate-Links live sein noch öffentlich vermarktet werden muss.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Der volle TikTok-Push sollte nicht vor Abschluss der Phase-1-Themen erfolgen: Amazon-Mobile-App-Zulassung (falls die Box aktiviert werden soll), Consent-Screen, Google-Play-Health-Apps-Deklaration, Store-Beschreibung mit Pflicht-Disclaimer.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DPIA-Vorprüfung und MDR-Intended-Purpose-Dokument können parallel zur Entwicklung bei externen Fachleuten beauftragt werden – sie blockieren nicht die Code-Arbeit, müssen aber vor größerem Nutzerzuwachs vorliegen.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Sicherheits-Härtung (IAP-Validierung, JS-Obfuskierung) ist kein Blocker für den kleinen Testerkreis, aber ein klares Muss, bevor die App öffentlich im Play Store steht.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Die Amazon-Affiliate-Frage ist keine Blockerfrage mehr, sondern eine Grundsatzentscheidung: Der Expertenrat empfiehlt, sie für den Start nicht zu aktivieren und die Monetarisierung auf das Premium-Abo zu konzentrieren – reversibel, sobald Amazon-Zulassung und Melatonin/Berberin-Frage geklärt sind.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Empfohlene Reihenfolge (aktualisiert): (1) Play-Console-Kontotyp verifizieren + Health-Apps-Deklaration ausfüllen, (2) Consent-Screen inkl. Erinnerungs-Zweck bauen, (3) Zufuhr-/Laborwert-Reframing umsetzen, (4) Diagnostik-/Paywall-Themen final abschließen, (5) externe Prüfungen parallel beauftragen, (6) Amazon-Entscheidung final treffen, (7) TikTok-Start, (8) IAP-Härtung vor öffentlichem Play-Store-Launch.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a7a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1a7a6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2026-07-21T04:01:54.634Z</dcterms:created>
  <dcterms:modified xsi:type="dcterms:W3CDTF">2026-07-21T04:01:54.635Z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