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7a6e"/>
          <w:sz w:val="36"/>
          <w:szCs w:val="36"/>
        </w:rPr>
        <w:t xml:space="preserve">WellANNI – Experten-Review 4</w:t>
      </w:r>
    </w:p>
    <w:p>
      <w:pPr>
        <w:spacing w:after="200"/>
        <w:jc w:val="center"/>
      </w:pPr>
      <w:r>
        <w:rPr>
          <w:i/>
          <w:iCs/>
          <w:color w:val="616161"/>
          <w:sz w:val="22"/>
          <w:szCs w:val="22"/>
        </w:rPr>
        <w:t xml:space="preserve">Mikronährstoff-Zusammenhänge (Körper &amp; Geist), Rezept-Datenbank, Auto-Tracking &amp; Foto-/QR-Erkennung</w:t>
      </w:r>
    </w:p>
    <w:p>
      <w:pPr>
        <w:spacing w:after="140"/>
      </w:pPr>
      <w:r>
        <w:rPr>
          <w:b w:val="false"/>
          <w:bCs w:val="false"/>
          <w:i w:val="false"/>
          <w:iCs w:val="false"/>
          <w:sz w:val="21"/>
          <w:szCs w:val="21"/>
        </w:rPr>
        <w:t xml:space="preserve">Für Nicole Döhring · Stand: 25.07.2026 · Grundlage: aktueller Code-Stand (biomarkerCatalog.json, nutrientInteractions.js, recipes.json, mealPlan.js, healthClaims.js, skinVitality.js)</w:t>
      </w:r>
    </w:p>
    <w:p>
      <w:pPr>
        <w:pBdr>
          <w:bottom w:val="single" w:color="CCCCCC" w:sz="6" w:space="4"/>
        </w:pBdr>
        <w:spacing w:after="120" w:before="120"/>
      </w:pPr>
    </w:p>
    <w:p>
      <w:pPr>
        <w:pStyle w:val="Heading1"/>
        <w:spacing w:after="160" w:before="320"/>
      </w:pPr>
      <w:r>
        <w:rPr>
          <w:b/>
          <w:bCs/>
          <w:color w:val="1a7a6e"/>
          <w:sz w:val="28"/>
          <w:szCs w:val="28"/>
        </w:rPr>
        <w:t xml:space="preserve">1. Auftrag &amp; Ausgangsthese</w:t>
      </w:r>
    </w:p>
    <w:p>
      <w:pPr>
        <w:spacing w:after="140"/>
      </w:pPr>
      <w:r>
        <w:rPr>
          <w:b w:val="false"/>
          <w:bCs w:val="false"/>
          <w:i w:val="false"/>
          <w:iCs w:val="false"/>
          <w:sz w:val="21"/>
          <w:szCs w:val="21"/>
        </w:rPr>
        <w:t xml:space="preserve">Nicoles These zur Anfrage: Wer WellANNI installiert, will nicht nur Kalorien/Makros zählen wie bei Yazio &amp; Co., sondern verstehen, was im eigenen Körper vorgeht. Diese Runde prüft, ob und wie die App dieses Versprechen einlöst – bei den Mikronährstoff-Zusammenhängen, bei der Rezept-Datenbank und bei zwei neuen Feature-Ideen (Auto-Eintragen bei Rezept-Zubereitung, QR-/Foto-Erkennung).</w:t>
      </w:r>
    </w:p>
    <w:p>
      <w:pPr>
        <w:spacing w:after="140"/>
      </w:pPr>
      <w:r>
        <w:rPr>
          <w:b w:val="false"/>
          <w:bCs w:val="false"/>
          <w:i w:val="false"/>
          <w:iCs w:val="false"/>
          <w:sz w:val="21"/>
          <w:szCs w:val="21"/>
        </w:rPr>
        <w:t xml:space="preserve">Teilnehmende: Anti-Aging-Experte, Dermatologin mit Ernährungsschwerpunkt, Mediziner, Ernährungsberater, Heilpraktiker, TCM-Experte (alle wie angefragt). Zusätzlich hinzugezogen, weil für einzelne Fragen fachlich nötig: Chronobiologe (Tageszeit-Frage), Regulatory-Affairs-Experte/Anwalt (Health-Claims- und MDR-Prüfung der komplementärmedizinischen Inhalte), App-Entwickler und DSGVO-Experte (beide für Teil 2, wie von dir vorgegeben).</w:t>
      </w:r>
    </w:p>
    <w:p>
      <w:pPr>
        <w:pStyle w:val="Heading1"/>
        <w:spacing w:after="160" w:before="320"/>
      </w:pPr>
      <w:r>
        <w:rPr>
          <w:b/>
          <w:bCs/>
          <w:color w:val="1a7a6e"/>
          <w:sz w:val="28"/>
          <w:szCs w:val="28"/>
        </w:rPr>
        <w:t xml:space="preserve">2. Zentraler Befund vorweg: Konflikt bei "Anti-Aging"</w:t>
      </w:r>
    </w:p>
    <w:p>
      <w:pPr>
        <w:spacing w:after="140"/>
      </w:pPr>
      <w:r>
        <w:rPr>
          <w:b w:val="false"/>
          <w:bCs w:val="false"/>
          <w:i w:val="false"/>
          <w:iCs w:val="false"/>
          <w:sz w:val="21"/>
          <w:szCs w:val="21"/>
        </w:rPr>
        <w:t xml:space="preserve">Bevor die inhaltlichen Ergebnisse folgen, ein wichtiger Abgleich mit bereits bestehenden Leitplanken: Das Beauty-Feature "Hautgesundheit &amp; Vitalität" (skinVitality.js) wurde von einem früheren 3-Experten-Panel entwickelt, das ausdrücklich festgelegt hat, den Begriff "Anti-Aging" NICHT zu verwenden – er gilt als wissenschaftlich unpräzise, weil er eine Umkehrbarkeit von Alterungsprozessen suggeriert, die es so nicht gibt. Die Runde nutzt stattdessen "Healthy Aging".</w:t>
      </w:r>
    </w:p>
    <w:p>
      <w:pPr>
        <w:spacing w:after="140"/>
      </w:pPr>
      <w:r>
        <w:rPr>
          <w:b w:val="false"/>
          <w:bCs w:val="false"/>
          <w:i w:val="false"/>
          <w:iCs w:val="false"/>
          <w:sz w:val="21"/>
          <w:szCs w:val="21"/>
        </w:rPr>
        <w:t xml:space="preserve">Der Anti-Aging-Experte in dieser Runde liefert trotzdem wertvollen fachlichen Input (siehe Abschnitt 4) – aber sowohl der Mediziner als auch der hinzugezogene Regulatory-Affairs-Experte empfehlen einstimmig, an der bestehenden Regel festzuhalten: Die Erkenntnisse fließen ein, die Begrifflichkeit in der App bleibt "Healthy Aging"/"Vitalität", nicht "Anti-Aging".</w:t>
      </w:r>
    </w:p>
    <w:p>
      <w:pPr>
        <w:pStyle w:val="Heading1"/>
        <w:spacing w:after="160" w:before="320"/>
      </w:pPr>
      <w:r>
        <w:rPr>
          <w:b/>
          <w:bCs/>
          <w:color w:val="1a7a6e"/>
          <w:sz w:val="28"/>
          <w:szCs w:val="28"/>
        </w:rPr>
        <w:t xml:space="preserve">3. Zusätzliche Nährstoff-Zusammenhänge (Ernährungsberater, Mediziner, Dermatologin)</w:t>
      </w:r>
    </w:p>
    <w:p>
      <w:pPr>
        <w:spacing w:after="140"/>
      </w:pPr>
      <w:r>
        <w:rPr>
          <w:b w:val="false"/>
          <w:bCs w:val="false"/>
          <w:i w:val="false"/>
          <w:iCs w:val="false"/>
          <w:sz w:val="21"/>
          <w:szCs w:val="21"/>
        </w:rPr>
        <w:t xml:space="preserve">Aktuell sind in nutrientInteractions.js 15 Wechselwirkungspaare hinterlegt. Die Runde hat weitere, gut dokumentierte Zusammenhänge identifiziert, die noch fehlen: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F5F3" w:val="clear"/>
          </w:tcPr>
          <w:p>
            <w:r>
              <w:rPr>
                <w:b/>
                <w:bCs/>
                <w:sz w:val="19"/>
                <w:szCs w:val="19"/>
              </w:rPr>
              <w:t xml:space="preserve">Zusammenhang</w:t>
            </w:r>
          </w:p>
        </w:tc>
        <w:tc>
          <w:tcPr>
            <w:tcW w:type="dxa" w:w="3000"/>
            <w:shd w:fill="E8F5F3" w:val="clear"/>
          </w:tcPr>
          <w:p>
            <w:r>
              <w:rPr>
                <w:b/>
                <w:bCs/>
                <w:sz w:val="19"/>
                <w:szCs w:val="19"/>
              </w:rPr>
              <w:t xml:space="preserve">Erklärung</w:t>
            </w:r>
          </w:p>
        </w:tc>
        <w:tc>
          <w:tcPr>
            <w:tcW w:type="dxa" w:w="3000"/>
            <w:shd w:fill="E8F5F3" w:val="clear"/>
          </w:tcPr>
          <w:p>
            <w:r>
              <w:rPr>
                <w:b/>
                <w:bCs/>
                <w:sz w:val="19"/>
                <w:szCs w:val="19"/>
              </w:rPr>
              <w:t xml:space="preserve">Evidenz</w:t>
            </w:r>
          </w:p>
        </w:tc>
      </w:tr>
      <w:tr>
        <w:tc>
          <w:tcPr>
            <w:tcW w:type="dxa" w:w="3000"/>
          </w:tcPr>
          <w:p>
            <w:r>
              <w:rPr>
                <w:b w:val="false"/>
                <w:bCs w:val="false"/>
                <w:sz w:val="19"/>
                <w:szCs w:val="19"/>
              </w:rPr>
              <w:t xml:space="preserve">Vitamin D + Magnesium</w:t>
            </w:r>
          </w:p>
        </w:tc>
        <w:tc>
          <w:tcPr>
            <w:tcW w:type="dxa" w:w="3000"/>
          </w:tcPr>
          <w:p>
            <w:r>
              <w:rPr>
                <w:b w:val="false"/>
                <w:bCs w:val="false"/>
                <w:sz w:val="19"/>
                <w:szCs w:val="19"/>
              </w:rPr>
              <w:t xml:space="preserve">Magnesium ist Cofaktor der Enzyme, die Vitamin D im Körper überhaupt erst aktivieren (25- und 1α-Hydroxylase). Ohne ausreichend Magnesium bleibt auch eine gute Vitamin-D-Zufuhr wirkungsärmer.</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Vitamin D + Vitamin K</w:t>
            </w:r>
          </w:p>
        </w:tc>
        <w:tc>
          <w:tcPr>
            <w:tcW w:type="dxa" w:w="3000"/>
          </w:tcPr>
          <w:p>
            <w:r>
              <w:rPr>
                <w:b w:val="false"/>
                <w:bCs w:val="false"/>
                <w:sz w:val="19"/>
                <w:szCs w:val="19"/>
              </w:rPr>
              <w:t xml:space="preserve">Vitamin D fördert die Calcium-Aufnahme, Vitamin K lenkt das Calcium in die Knochen statt in Gefäße/Weichteile. Hinweis: Der Katalog unterscheidet aktuell nicht zwischen K1 und K2 – für diese Aussage wäre K2 relevant.</w:t>
            </w:r>
          </w:p>
        </w:tc>
        <w:tc>
          <w:tcPr>
            <w:tcW w:type="dxa" w:w="3000"/>
          </w:tcPr>
          <w:p>
            <w:r>
              <w:rPr>
                <w:b w:val="false"/>
                <w:bCs w:val="false"/>
                <w:sz w:val="19"/>
                <w:szCs w:val="19"/>
              </w:rPr>
              <w:t xml:space="preserve">gut belegt (K2-Differenzierung fehlt im Katalog)</w:t>
            </w:r>
          </w:p>
        </w:tc>
      </w:tr>
      <w:tr>
        <w:tc>
          <w:tcPr>
            <w:tcW w:type="dxa" w:w="3000"/>
          </w:tcPr>
          <w:p>
            <w:r>
              <w:rPr>
                <w:b w:val="false"/>
                <w:bCs w:val="false"/>
                <w:sz w:val="19"/>
                <w:szCs w:val="19"/>
              </w:rPr>
              <w:t xml:space="preserve">Vitamin C + Vitamin E</w:t>
            </w:r>
          </w:p>
        </w:tc>
        <w:tc>
          <w:tcPr>
            <w:tcW w:type="dxa" w:w="3000"/>
          </w:tcPr>
          <w:p>
            <w:r>
              <w:rPr>
                <w:b w:val="false"/>
                <w:bCs w:val="false"/>
                <w:sz w:val="19"/>
                <w:szCs w:val="19"/>
              </w:rPr>
              <w:t xml:space="preserve">Vitamin C regeneriert oxidiertes ("verbrauchtes") Vitamin E – beide Antioxidantien arbeiten im Verbund, nicht isoliert.</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Omega-3 + Vitamin E</w:t>
            </w:r>
          </w:p>
        </w:tc>
        <w:tc>
          <w:tcPr>
            <w:tcW w:type="dxa" w:w="3000"/>
          </w:tcPr>
          <w:p>
            <w:r>
              <w:rPr>
                <w:b w:val="false"/>
                <w:bCs w:val="false"/>
                <w:sz w:val="19"/>
                <w:szCs w:val="19"/>
              </w:rPr>
              <w:t xml:space="preserve">Mehrfach ungesättigte Fettsäuren oxidieren leicht; Vitamin E schützt sie vor Oxidation im Körper.</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Vitamin B6, B9, B12 + Homocystein</w:t>
            </w:r>
          </w:p>
        </w:tc>
        <w:tc>
          <w:tcPr>
            <w:tcW w:type="dxa" w:w="3000"/>
          </w:tcPr>
          <w:p>
            <w:r>
              <w:rPr>
                <w:b w:val="false"/>
                <w:bCs w:val="false"/>
                <w:sz w:val="19"/>
                <w:szCs w:val="19"/>
              </w:rPr>
              <w:t xml:space="preserve">Alle drei sind gemeinsam am Homocystein-Abbau beteiligt – ein Mangel bei einem der drei kann Homocystein erhöhen (bereits als Laborwert im Katalog vorhanden, aber ohne Verweis auf diese drei Vitamine).</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Zink + Vitamin A</w:t>
            </w:r>
          </w:p>
        </w:tc>
        <w:tc>
          <w:tcPr>
            <w:tcW w:type="dxa" w:w="3000"/>
          </w:tcPr>
          <w:p>
            <w:r>
              <w:rPr>
                <w:b w:val="false"/>
                <w:bCs w:val="false"/>
                <w:sz w:val="19"/>
                <w:szCs w:val="19"/>
              </w:rPr>
              <w:t xml:space="preserve">Zink wird für den Transport von Vitamin A im Blut (Retinol-bindendes Protein) benötigt – bei Zinkmangel wirkt auch ausreichendes Vitamin A schlechter.</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Selen + Jod</w:t>
            </w:r>
          </w:p>
        </w:tc>
        <w:tc>
          <w:tcPr>
            <w:tcW w:type="dxa" w:w="3000"/>
          </w:tcPr>
          <w:p>
            <w:r>
              <w:rPr>
                <w:b w:val="false"/>
                <w:bCs w:val="false"/>
                <w:sz w:val="19"/>
                <w:szCs w:val="19"/>
              </w:rPr>
              <w:t xml:space="preserve">Beide werden für die Umwandlung von Schilddrüsenhormon T4 zu T3 gebraucht (selenabhängige Dejodasen) – die App trackt beide bereits, zeigt den Zusammenhang aber nicht.</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Vitamin A + Eisen</w:t>
            </w:r>
          </w:p>
        </w:tc>
        <w:tc>
          <w:tcPr>
            <w:tcW w:type="dxa" w:w="3000"/>
          </w:tcPr>
          <w:p>
            <w:r>
              <w:rPr>
                <w:b w:val="false"/>
                <w:bCs w:val="false"/>
                <w:sz w:val="19"/>
                <w:szCs w:val="19"/>
              </w:rPr>
              <w:t xml:space="preserve">Vitamin-A-Mangel kann Eisenmangelanämie verschlechtern, weil Eisen aus den Speichern schlechter mobilisiert wird.</w:t>
            </w:r>
          </w:p>
        </w:tc>
        <w:tc>
          <w:tcPr>
            <w:tcW w:type="dxa" w:w="3000"/>
          </w:tcPr>
          <w:p>
            <w:r>
              <w:rPr>
                <w:b w:val="false"/>
                <w:bCs w:val="false"/>
                <w:sz w:val="19"/>
                <w:szCs w:val="19"/>
              </w:rPr>
              <w:t xml:space="preserve">gut belegt, aber weniger bekannt</w:t>
            </w:r>
          </w:p>
        </w:tc>
      </w:tr>
      <w:tr>
        <w:tc>
          <w:tcPr>
            <w:tcW w:type="dxa" w:w="3000"/>
          </w:tcPr>
          <w:p>
            <w:r>
              <w:rPr>
                <w:b w:val="false"/>
                <w:bCs w:val="false"/>
                <w:sz w:val="19"/>
                <w:szCs w:val="19"/>
              </w:rPr>
              <w:t xml:space="preserve">Magnesium + Calcium (Funktion)</w:t>
            </w:r>
          </w:p>
        </w:tc>
        <w:tc>
          <w:tcPr>
            <w:tcW w:type="dxa" w:w="3000"/>
          </w:tcPr>
          <w:p>
            <w:r>
              <w:rPr>
                <w:b w:val="false"/>
                <w:bCs w:val="false"/>
                <w:sz w:val="19"/>
                <w:szCs w:val="19"/>
              </w:rPr>
              <w:t xml:space="preserve">Nicht nur Aufnahme-Konkurrenz (bereits hinterlegt): funktionell wirken sie gegensätzlich an der Muskel-/Nervenzelle – Calcium löst Anspannung/Kontraktion aus, Magnesium Entspannung.</w:t>
            </w:r>
          </w:p>
        </w:tc>
        <w:tc>
          <w:tcPr>
            <w:tcW w:type="dxa" w:w="3000"/>
          </w:tcPr>
          <w:p>
            <w:r>
              <w:rPr>
                <w:b w:val="false"/>
                <w:bCs w:val="false"/>
                <w:sz w:val="19"/>
                <w:szCs w:val="19"/>
              </w:rPr>
              <w:t xml:space="preserve">gut belegt</w:t>
            </w:r>
          </w:p>
        </w:tc>
      </w:tr>
    </w:tbl>
    <w:p>
      <w:pPr>
        <w:pBdr>
          <w:left w:val="single" w:color="1a7a6e" w:sz="18" w:space="8"/>
        </w:pBdr>
        <w:spacing w:after="160"/>
        <w:ind w:left="200"/>
      </w:pPr>
      <w:r>
        <w:rPr>
          <w:i/>
          <w:iCs/>
          <w:color w:val="616161"/>
          <w:sz w:val="20"/>
          <w:szCs w:val="20"/>
        </w:rPr>
        <w:t xml:space="preserve">Empfehlung: diese 9 Paare nach demselben Muster wie die bestehenden 15 in nutrientInteractions.js ergänzen – gleiche Datenstruktur, gleiche Anzeige im Trend-Screen.</w:t>
      </w:r>
    </w:p>
    <w:p>
      <w:pPr>
        <w:pStyle w:val="Heading1"/>
        <w:spacing w:after="160" w:before="320"/>
      </w:pPr>
      <w:r>
        <w:rPr>
          <w:b/>
          <w:bCs/>
          <w:color w:val="1a7a6e"/>
          <w:sz w:val="28"/>
          <w:szCs w:val="28"/>
        </w:rPr>
        <w:t xml:space="preserve">4. Was diese Nährstoffe mit Körper UND Geist machen</w:t>
      </w:r>
    </w:p>
    <w:p>
      <w:pPr>
        <w:spacing w:after="140"/>
      </w:pPr>
      <w:r>
        <w:rPr>
          <w:b w:val="false"/>
          <w:bCs w:val="false"/>
          <w:i w:val="false"/>
          <w:iCs w:val="false"/>
          <w:sz w:val="21"/>
          <w:szCs w:val="21"/>
        </w:rPr>
        <w:t xml:space="preserve">Die Runde hat die 47 Nährstoffe nach Wirkungs-Clustern sortiert – analog zur bestehenden Evidenz-Kennzeichnung aus skinVitality.js ("gut belegt" / "vielversprechend, Forschung läuft"), damit keine neue, uneinheitliche Darstellung von Sicherheit entsteht.</w:t>
      </w:r>
    </w:p>
    <w:p>
      <w:pPr>
        <w:spacing w:after="60" w:before="200"/>
      </w:pPr>
      <w:r>
        <w:rPr>
          <w:b/>
          <w:bCs/>
          <w:color w:val="1a7a6e"/>
          <w:sz w:val="22"/>
          <w:szCs w:val="22"/>
        </w:rPr>
        <w:t xml:space="preserve">Nervensystem &amp; Stimmung</w:t>
      </w:r>
    </w:p>
    <w:p>
      <w:pPr>
        <w:spacing w:after="140"/>
      </w:pPr>
      <w:r>
        <w:rPr>
          <w:b w:val="false"/>
          <w:bCs w:val="false"/>
          <w:i w:val="false"/>
          <w:iCs w:val="false"/>
          <w:sz w:val="21"/>
          <w:szCs w:val="21"/>
        </w:rPr>
        <w:t xml:space="preserve">Mediziner + Anti-Aging-Experte: Vitamin B6, B9 (Folat) und B12 sind Cofaktoren der Neurotransmitter-Synthese (Serotonin, Dopamin, GABA) – gut belegt. Magnesium beeinflusst Rezeptoren, die an der Stressachse beteiligt sind; der Zusammenhang mit Schlaf/Anspannung ist plausibel, aber für gesunde Personen ohne Mangel nicht durchgängig klinisch belegt – Einstufung "vielversprechend, Forschung läuft". Eisenmangel ist gut mit Konzentrationsschwäche und Erschöpfung assoziiert (Sauerstofftransport zum Gehirn) – gut belegt. Vitamin-D-Rezeptoren finden sich im Gehirn, ein Zusammenhang mit Stimmung wird diskutiert, die Kausalität ist aber nicht eindeutig geklärt – "vielversprechend, Forschung läuft", nicht als gesicherter Effekt formulieren.</w:t>
      </w:r>
    </w:p>
    <w:p>
      <w:pPr>
        <w:spacing w:after="60" w:before="200"/>
      </w:pPr>
      <w:r>
        <w:rPr>
          <w:b/>
          <w:bCs/>
          <w:color w:val="1a7a6e"/>
          <w:sz w:val="22"/>
          <w:szCs w:val="22"/>
        </w:rPr>
        <w:t xml:space="preserve">Energie &amp; Konzentration</w:t>
      </w:r>
    </w:p>
    <w:p>
      <w:pPr>
        <w:spacing w:after="140"/>
      </w:pPr>
      <w:r>
        <w:rPr>
          <w:b w:val="false"/>
          <w:bCs w:val="false"/>
          <w:i w:val="false"/>
          <w:iCs w:val="false"/>
          <w:sz w:val="21"/>
          <w:szCs w:val="21"/>
        </w:rPr>
        <w:t xml:space="preserve">Ernährungsberater: Die B-Vitamine B1, B2, B3, B5 und B6 sind Cofaktoren im zellulären Energiestoffwechsel – hierzu gibt es sogar EFSA-zugelassene Claims ("trägt zu einem normalen Energiestoffwechsel bei"), die aktuell nirgends in der App genutzt werden, obwohl sie einfach und rechtssicher wären.</w:t>
      </w:r>
    </w:p>
    <w:p>
      <w:pPr>
        <w:spacing w:after="60" w:before="200"/>
      </w:pPr>
      <w:r>
        <w:rPr>
          <w:b/>
          <w:bCs/>
          <w:color w:val="1a7a6e"/>
          <w:sz w:val="22"/>
          <w:szCs w:val="22"/>
        </w:rPr>
        <w:t xml:space="preserve">Immunsystem</w:t>
      </w:r>
    </w:p>
    <w:p>
      <w:pPr>
        <w:spacing w:after="140"/>
      </w:pPr>
      <w:r>
        <w:rPr>
          <w:b w:val="false"/>
          <w:bCs w:val="false"/>
          <w:i w:val="false"/>
          <w:iCs w:val="false"/>
          <w:sz w:val="21"/>
          <w:szCs w:val="21"/>
        </w:rPr>
        <w:t xml:space="preserve">Mediziner: Vitamin C, Vitamin D, Zink und Selen haben eine gut belegte, EFSA-anerkannte Rolle für eine normale Immunfunktion – ebenfalls bereits nutzbare, rechtssichere Formulierungen, die noch nicht systematisch in den Nährstoff-Beschreibungen auftauchen.</w:t>
      </w:r>
    </w:p>
    <w:p>
      <w:pPr>
        <w:spacing w:after="60" w:before="200"/>
      </w:pPr>
      <w:r>
        <w:rPr>
          <w:b/>
          <w:bCs/>
          <w:color w:val="1a7a6e"/>
          <w:sz w:val="22"/>
          <w:szCs w:val="22"/>
        </w:rPr>
        <w:t xml:space="preserve">Haut, Haare, Nägel</w:t>
      </w:r>
    </w:p>
    <w:p>
      <w:pPr>
        <w:spacing w:after="140"/>
      </w:pPr>
      <w:r>
        <w:rPr>
          <w:b w:val="false"/>
          <w:bCs w:val="false"/>
          <w:i w:val="false"/>
          <w:iCs w:val="false"/>
          <w:sz w:val="21"/>
          <w:szCs w:val="21"/>
        </w:rPr>
        <w:t xml:space="preserve">Bereits vollständig in skinVitality.js abgedeckt (Premium-Feature "Hautgesundheit &amp; Vitalität") – hier keine Doppelarbeit, nur Querverweis in der Dokumentation.</w:t>
      </w:r>
    </w:p>
    <w:p>
      <w:pPr>
        <w:pBdr>
          <w:left w:val="single" w:color="1a7a6e" w:sz="18" w:space="8"/>
        </w:pBdr>
        <w:spacing w:after="160"/>
        <w:ind w:left="200"/>
      </w:pPr>
      <w:r>
        <w:rPr>
          <w:i/>
          <w:iCs/>
          <w:color w:val="616161"/>
          <w:sz w:val="20"/>
          <w:szCs w:val="20"/>
        </w:rPr>
        <w:t xml:space="preserve">Konkreter Vorschlag: Die description/function-Felder in biomarkerCatalog.json sind aktuell rein biologisch-funktional formuliert ("Knochen- und Zahnstabilität..."). Ein zusätzliches, optionales Feld auf Ebene von Körper/Geist ("Was du davon spüren kannst") würde genau die von dir gewünschte Tiefe liefern, ohne die bestehenden EFSA-Formulierungen zu verändern.</w:t>
      </w:r>
    </w:p>
    <w:p>
      <w:pPr>
        <w:pStyle w:val="Heading1"/>
        <w:spacing w:after="160" w:before="320"/>
      </w:pPr>
      <w:r>
        <w:rPr>
          <w:b/>
          <w:bCs/>
          <w:color w:val="1a7a6e"/>
          <w:sz w:val="28"/>
          <w:szCs w:val="28"/>
        </w:rPr>
        <w:t xml:space="preserve">5. Tageszeit-Empfehlungen (Chronobiologe hinzugezogen)</w:t>
      </w:r>
    </w:p>
    <w:p>
      <w:pPr>
        <w:spacing w:after="140"/>
      </w:pPr>
      <w:r>
        <w:rPr>
          <w:b w:val="false"/>
          <w:bCs w:val="false"/>
          <w:i w:val="false"/>
          <w:iCs w:val="false"/>
          <w:sz w:val="21"/>
          <w:szCs w:val="21"/>
        </w:rPr>
        <w:t xml:space="preserve">Wichtige Unterscheidung der Runde: Manche Tageszeit-Empfehlungen sind pharmakologisch/biochemisch begründet, andere sind eher pragmatische Tradition. Beides wird aktuell nirgends in der App unterschieden – das Datenmodell hat dafür überhaupt kein Feld.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F5F3" w:val="clear"/>
          </w:tcPr>
          <w:p>
            <w:r>
              <w:rPr>
                <w:b/>
                <w:bCs/>
                <w:sz w:val="19"/>
                <w:szCs w:val="19"/>
              </w:rPr>
              <w:t xml:space="preserve">Nährstoff</w:t>
            </w:r>
          </w:p>
        </w:tc>
        <w:tc>
          <w:tcPr>
            <w:tcW w:type="dxa" w:w="3000"/>
            <w:shd w:fill="E8F5F3" w:val="clear"/>
          </w:tcPr>
          <w:p>
            <w:r>
              <w:rPr>
                <w:b/>
                <w:bCs/>
                <w:sz w:val="19"/>
                <w:szCs w:val="19"/>
              </w:rPr>
              <w:t xml:space="preserve">Hinweis</w:t>
            </w:r>
          </w:p>
        </w:tc>
        <w:tc>
          <w:tcPr>
            <w:tcW w:type="dxa" w:w="3000"/>
            <w:shd w:fill="E8F5F3" w:val="clear"/>
          </w:tcPr>
          <w:p>
            <w:r>
              <w:rPr>
                <w:b/>
                <w:bCs/>
                <w:sz w:val="19"/>
                <w:szCs w:val="19"/>
              </w:rPr>
              <w:t xml:space="preserve">Einordnung</w:t>
            </w:r>
          </w:p>
        </w:tc>
      </w:tr>
      <w:tr>
        <w:tc>
          <w:tcPr>
            <w:tcW w:type="dxa" w:w="3000"/>
          </w:tcPr>
          <w:p>
            <w:r>
              <w:rPr>
                <w:b w:val="false"/>
                <w:bCs w:val="false"/>
                <w:sz w:val="19"/>
                <w:szCs w:val="19"/>
              </w:rPr>
              <w:t xml:space="preserve">Vitamin A, D, E, K (fettlöslich)</w:t>
            </w:r>
          </w:p>
        </w:tc>
        <w:tc>
          <w:tcPr>
            <w:tcW w:type="dxa" w:w="3000"/>
          </w:tcPr>
          <w:p>
            <w:r>
              <w:rPr>
                <w:b w:val="false"/>
                <w:bCs w:val="false"/>
                <w:sz w:val="19"/>
                <w:szCs w:val="19"/>
              </w:rPr>
              <w:t xml:space="preserve">Zusammen mit einer fetthaltigen Mahlzeit – Uhrzeit selbst spielt kaum eine Rolle.</w:t>
            </w:r>
          </w:p>
        </w:tc>
        <w:tc>
          <w:tcPr>
            <w:tcW w:type="dxa" w:w="3000"/>
          </w:tcPr>
          <w:p>
            <w:r>
              <w:rPr>
                <w:b w:val="false"/>
                <w:bCs w:val="false"/>
                <w:sz w:val="19"/>
                <w:szCs w:val="19"/>
              </w:rPr>
              <w:t xml:space="preserve">gut belegt</w:t>
            </w:r>
          </w:p>
        </w:tc>
      </w:tr>
      <w:tr>
        <w:tc>
          <w:tcPr>
            <w:tcW w:type="dxa" w:w="3000"/>
          </w:tcPr>
          <w:p>
            <w:r>
              <w:rPr>
                <w:b w:val="false"/>
                <w:bCs w:val="false"/>
                <w:sz w:val="19"/>
                <w:szCs w:val="19"/>
              </w:rPr>
              <w:t xml:space="preserve">Eisen</w:t>
            </w:r>
          </w:p>
        </w:tc>
        <w:tc>
          <w:tcPr>
            <w:tcW w:type="dxa" w:w="3000"/>
          </w:tcPr>
          <w:p>
            <w:r>
              <w:rPr>
                <w:b w:val="false"/>
                <w:bCs w:val="false"/>
                <w:sz w:val="19"/>
                <w:szCs w:val="19"/>
              </w:rPr>
              <w:t xml:space="preserve">Nüchtern oder mit Vitamin C, aber mit zeitlichem Abstand zu Calcium/Kaffee/Tee (30–60 Min.).</w:t>
            </w:r>
          </w:p>
        </w:tc>
        <w:tc>
          <w:tcPr>
            <w:tcW w:type="dxa" w:w="3000"/>
          </w:tcPr>
          <w:p>
            <w:r>
              <w:rPr>
                <w:b w:val="false"/>
                <w:bCs w:val="false"/>
                <w:sz w:val="19"/>
                <w:szCs w:val="19"/>
              </w:rPr>
              <w:t xml:space="preserve">gut belegt (Abstand wichtiger als Uhrzeit)</w:t>
            </w:r>
          </w:p>
        </w:tc>
      </w:tr>
      <w:tr>
        <w:tc>
          <w:tcPr>
            <w:tcW w:type="dxa" w:w="3000"/>
          </w:tcPr>
          <w:p>
            <w:r>
              <w:rPr>
                <w:b w:val="false"/>
                <w:bCs w:val="false"/>
                <w:sz w:val="19"/>
                <w:szCs w:val="19"/>
              </w:rPr>
              <w:t xml:space="preserve">Magnesium</w:t>
            </w:r>
          </w:p>
        </w:tc>
        <w:tc>
          <w:tcPr>
            <w:tcW w:type="dxa" w:w="3000"/>
          </w:tcPr>
          <w:p>
            <w:r>
              <w:rPr>
                <w:b w:val="false"/>
                <w:bCs w:val="false"/>
                <w:sz w:val="19"/>
                <w:szCs w:val="19"/>
              </w:rPr>
              <w:t xml:space="preserve">Häufig abends empfohlen (Muskelentspannung/Schlaf) – für gesunde Personen ohne Mangel nicht stark klinisch belegt.</w:t>
            </w:r>
          </w:p>
        </w:tc>
        <w:tc>
          <w:tcPr>
            <w:tcW w:type="dxa" w:w="3000"/>
          </w:tcPr>
          <w:p>
            <w:r>
              <w:rPr>
                <w:b w:val="false"/>
                <w:bCs w:val="false"/>
                <w:sz w:val="19"/>
                <w:szCs w:val="19"/>
              </w:rPr>
              <w:t xml:space="preserve">vielversprechend/traditionell</w:t>
            </w:r>
          </w:p>
        </w:tc>
      </w:tr>
      <w:tr>
        <w:tc>
          <w:tcPr>
            <w:tcW w:type="dxa" w:w="3000"/>
          </w:tcPr>
          <w:p>
            <w:r>
              <w:rPr>
                <w:b w:val="false"/>
                <w:bCs w:val="false"/>
                <w:sz w:val="19"/>
                <w:szCs w:val="19"/>
              </w:rPr>
              <w:t xml:space="preserve">B-Vitamine</w:t>
            </w:r>
          </w:p>
        </w:tc>
        <w:tc>
          <w:tcPr>
            <w:tcW w:type="dxa" w:w="3000"/>
          </w:tcPr>
          <w:p>
            <w:r>
              <w:rPr>
                <w:b w:val="false"/>
                <w:bCs w:val="false"/>
                <w:sz w:val="19"/>
                <w:szCs w:val="19"/>
              </w:rPr>
              <w:t xml:space="preserve">Oft morgens empfohlen wegen möglicher aktivierender Wirkung – individuell unterschiedlich, keine belegte Notwendigkeit.</w:t>
            </w:r>
          </w:p>
        </w:tc>
        <w:tc>
          <w:tcPr>
            <w:tcW w:type="dxa" w:w="3000"/>
          </w:tcPr>
          <w:p>
            <w:r>
              <w:rPr>
                <w:b w:val="false"/>
                <w:bCs w:val="false"/>
                <w:sz w:val="19"/>
                <w:szCs w:val="19"/>
              </w:rPr>
              <w:t xml:space="preserve">pragmatischer Hinweis</w:t>
            </w:r>
          </w:p>
        </w:tc>
      </w:tr>
      <w:tr>
        <w:tc>
          <w:tcPr>
            <w:tcW w:type="dxa" w:w="3000"/>
          </w:tcPr>
          <w:p>
            <w:r>
              <w:rPr>
                <w:b w:val="false"/>
                <w:bCs w:val="false"/>
                <w:sz w:val="19"/>
                <w:szCs w:val="19"/>
              </w:rPr>
              <w:t xml:space="preserve">Calcium</w:t>
            </w:r>
          </w:p>
        </w:tc>
        <w:tc>
          <w:tcPr>
            <w:tcW w:type="dxa" w:w="3000"/>
          </w:tcPr>
          <w:p>
            <w:r>
              <w:rPr>
                <w:b w:val="false"/>
                <w:bCs w:val="false"/>
                <w:sz w:val="19"/>
                <w:szCs w:val="19"/>
              </w:rPr>
              <w:t xml:space="preserve">Einzeldosen über 500 mg werden schlechter aufgenommen – lieber über den Tag verteilen als eine große Menge.</w:t>
            </w:r>
          </w:p>
        </w:tc>
        <w:tc>
          <w:tcPr>
            <w:tcW w:type="dxa" w:w="3000"/>
          </w:tcPr>
          <w:p>
            <w:r>
              <w:rPr>
                <w:b w:val="false"/>
                <w:bCs w:val="false"/>
                <w:sz w:val="19"/>
                <w:szCs w:val="19"/>
              </w:rPr>
              <w:t xml:space="preserve">gut belegt</w:t>
            </w:r>
          </w:p>
        </w:tc>
      </w:tr>
    </w:tbl>
    <w:p>
      <w:pPr>
        <w:pBdr>
          <w:left w:val="single" w:color="1a7a6e" w:sz="18" w:space="8"/>
        </w:pBdr>
        <w:spacing w:after="160"/>
        <w:ind w:left="200"/>
      </w:pPr>
      <w:r>
        <w:rPr>
          <w:i/>
          <w:iCs/>
          <w:color w:val="616161"/>
          <w:sz w:val="20"/>
          <w:szCs w:val="20"/>
        </w:rPr>
        <w:t xml:space="preserve">Regulatory-Affairs-Experte/Anwalt: Tageszeit-Hinweise nahe an "Dosierungsempfehlungen" sind in Kombination mit der Amazon-Affiliate-Box heikel, wenn sie wie eine Therapieanweisung statt ein allgemeiner Ernährungstipp wirken. Empfehlung: konsequent als "kann"-Formulierung, konsequent lebensmittelbezogen ("iss eisenreiche Lebensmittel möglichst getrennt von deinem Kaffee") statt supplementbezogen formulieren – passt zur bestehenden "Ernährung zuerst"-Positionierung.</w:t>
      </w:r>
    </w:p>
    <w:p>
      <w:pPr>
        <w:pStyle w:val="Heading1"/>
        <w:spacing w:after="160" w:before="320"/>
      </w:pPr>
      <w:r>
        <w:rPr>
          <w:b/>
          <w:bCs/>
          <w:color w:val="1a7a6e"/>
          <w:sz w:val="28"/>
          <w:szCs w:val="28"/>
        </w:rPr>
        <w:t xml:space="preserve">6. Traditionelle Perspektiven: Heilpraktiker &amp; TCM-Experte</w:t>
      </w:r>
    </w:p>
    <w:p>
      <w:pPr>
        <w:spacing w:after="60" w:before="200"/>
      </w:pPr>
      <w:r>
        <w:rPr>
          <w:b/>
          <w:bCs/>
          <w:color w:val="1a7a6e"/>
          <w:sz w:val="22"/>
          <w:szCs w:val="22"/>
        </w:rPr>
        <w:t xml:space="preserve">Heilpraktiker</w:t>
      </w:r>
    </w:p>
    <w:p>
      <w:pPr>
        <w:spacing w:after="140"/>
      </w:pPr>
      <w:r>
        <w:rPr>
          <w:b w:val="false"/>
          <w:bCs w:val="false"/>
          <w:i w:val="false"/>
          <w:iCs w:val="false"/>
          <w:sz w:val="21"/>
          <w:szCs w:val="21"/>
        </w:rPr>
        <w:t xml:space="preserve">Betont eine ganzheitliche Sicht: Nährstoff-Wirkung hängt stark von der individuellen Aufnahmefähigkeit ab (Darmgesundheit/Mikrobiom als Voraussetzung – knüpft an die bereits bestehende "Darm-Haut-Achse" aus skinVitality.js an), außerdem Schlaf und Stress als Cofaktoren, die die App bereits trackt (Schlaf-Tracker, Heißhunger-Journal), aber noch nicht mit den Nährstoff-Werten in Verbindung bringt.</w:t>
      </w:r>
    </w:p>
    <w:p>
      <w:pPr>
        <w:spacing w:after="60" w:before="200"/>
      </w:pPr>
      <w:r>
        <w:rPr>
          <w:b/>
          <w:bCs/>
          <w:color w:val="1a7a6e"/>
          <w:sz w:val="22"/>
          <w:szCs w:val="22"/>
        </w:rPr>
        <w:t xml:space="preserve">TCM-Experte</w:t>
      </w:r>
    </w:p>
    <w:p>
      <w:pPr>
        <w:spacing w:after="140"/>
      </w:pPr>
      <w:r>
        <w:rPr>
          <w:b w:val="false"/>
          <w:bCs w:val="false"/>
          <w:i w:val="false"/>
          <w:iCs w:val="false"/>
          <w:sz w:val="21"/>
          <w:szCs w:val="21"/>
        </w:rPr>
        <w:t xml:space="preserve">Arbeitet mit einem komplett anderen Modell (Qi, Yin/Yang, Fünf-Elemente-Lehre, Organuhr). Beispiel: Eisenmangel entspricht in der TCM-Sprache oft einer "Blutschwäche" (Xue Xu), die traditionell mit bestimmten Lebensmitteln adressiert wird (Rote Bete, dunkles Blattgemüse, Datteln) – interessant, weil sich diese Lebensmittel mit den tatsächlich eisen-/folatreichen Lebensmitteln der westlichen Sicht überschneiden, auch wenn die Begründung eine andere ist. Die "Organuhr" (Zi Wu Liu Zhu) ordnet z. B. 23–1 Uhr der Gallenblase und 1–3 Uhr der Leber zu und wird traditionell mit Regeneration assoziiert – das ist jedoch keine im schulmedizinischen Sinn nachgewiesene Zeitfenster-Wirkung für Nährstoffaufnahme.</w:t>
      </w:r>
    </w:p>
    <w:p>
      <w:pPr>
        <w:spacing w:after="60" w:before="200"/>
      </w:pPr>
      <w:r>
        <w:rPr>
          <w:b/>
          <w:bCs/>
          <w:color w:val="1a7a6e"/>
          <w:sz w:val="22"/>
          <w:szCs w:val="22"/>
        </w:rPr>
        <w:t xml:space="preserve">Einordnung durch Regulatory-Affairs-Experte/Anwalt (verbindliche Empfehlung)</w:t>
      </w:r>
    </w:p>
    <w:p>
      <w:pPr>
        <w:spacing w:after="140"/>
      </w:pPr>
      <w:r>
        <w:rPr>
          <w:b w:val="false"/>
          <w:bCs w:val="false"/>
          <w:i w:val="false"/>
          <w:iCs w:val="false"/>
          <w:sz w:val="21"/>
          <w:szCs w:val="21"/>
        </w:rPr>
        <w:t xml:space="preserve">Diese Perspektiven dürfen nur als klar gekennzeichneter, separater Infobereich erscheinen – ausdrücklich betitelt als "traditionelle/komplementäre Sichtweise, wissenschaftlich nicht im schulmedizinischen Sinne belegt, keine EFSA-zugelassene Aussage". Vermischung mit den EFSA-geprüften Kernaussagen im Hauptbereich würde zwei Risiken gleichzeitig auslösen: einen Verstoß gegen die Health-Claims-Verordnung und – bei zu heilversprechender Sprache – eine Annäherung an die Medizinprodukt-Schwelle (MDR), vor der der Regulatory-Affairs-Experte in Runde 1 bereits gewarnt hat. Mit sauberer Kennzeichnung ist dagegen nichts einzuwenden – es ist ehrlich als Zusatzperspektive labeled, nicht als Fakt.</w:t>
      </w:r>
    </w:p>
    <w:p>
      <w:pPr>
        <w:pStyle w:val="Heading1"/>
        <w:spacing w:after="160" w:before="320"/>
      </w:pPr>
      <w:r>
        <w:rPr>
          <w:b/>
          <w:bCs/>
          <w:color w:val="1a7a6e"/>
          <w:sz w:val="28"/>
          <w:szCs w:val="28"/>
        </w:rPr>
        <w:t xml:space="preserve">7. Was fehlt in der App? (code-geprüft)</w:t>
      </w:r>
    </w:p>
    <w:p>
      <w:pPr>
        <w:pStyle w:val="ListParagraph"/>
        <w:numPr>
          <w:ilvl w:val="0"/>
          <w:numId w:val="1"/>
        </w:numPr>
        <w:spacing w:after="80"/>
      </w:pPr>
      <w:r>
        <w:rPr>
          <w:sz w:val="21"/>
          <w:szCs w:val="21"/>
        </w:rPr>
        <w:t xml:space="preserve">insightsByNutrient.json existiert bereits als Datei, ist aber komplett leer und wird im gesamten Code nicht referenziert – vermutlich als Ablage für genau diese Art von Zusammenhangs-/Körper-Geist-/Tageszeit-Wissen angelegt, aber nie befüllt. Die Infrastruktur zum Anzeigen (Trend-Screen) ist vorbereitet.</w:t>
      </w:r>
    </w:p>
    <w:p>
      <w:pPr>
        <w:pStyle w:val="ListParagraph"/>
        <w:numPr>
          <w:ilvl w:val="0"/>
          <w:numId w:val="1"/>
        </w:numPr>
        <w:spacing w:after="80"/>
      </w:pPr>
      <w:r>
        <w:rPr>
          <w:sz w:val="21"/>
          <w:szCs w:val="21"/>
        </w:rPr>
        <w:t xml:space="preserve">Nur 15 von jetzt vorgeschlagenen 24 sinnvollen Interaktionspaaren sind hinterlegt (siehe Abschnitt 3).</w:t>
      </w:r>
    </w:p>
    <w:p>
      <w:pPr>
        <w:pStyle w:val="ListParagraph"/>
        <w:numPr>
          <w:ilvl w:val="0"/>
          <w:numId w:val="1"/>
        </w:numPr>
        <w:spacing w:after="80"/>
      </w:pPr>
      <w:r>
        <w:rPr>
          <w:sz w:val="21"/>
          <w:szCs w:val="21"/>
        </w:rPr>
        <w:t xml:space="preserve">Keine Tageszeit-Information existiert irgendwo im Datenmodell oder in der Oberfläche.</w:t>
      </w:r>
    </w:p>
    <w:p>
      <w:pPr>
        <w:pStyle w:val="ListParagraph"/>
        <w:numPr>
          <w:ilvl w:val="0"/>
          <w:numId w:val="1"/>
        </w:numPr>
        <w:spacing w:after="80"/>
      </w:pPr>
      <w:r>
        <w:rPr>
          <w:sz w:val="21"/>
          <w:szCs w:val="21"/>
        </w:rPr>
        <w:t xml:space="preserve">Keine Körper-und-Geist-Dimension im Datenmodell – description/function sind rein biologisch-funktional, nicht auf "was spüre ich davon" ausgerichtet.</w:t>
      </w:r>
    </w:p>
    <w:p>
      <w:pPr>
        <w:pStyle w:val="ListParagraph"/>
        <w:numPr>
          <w:ilvl w:val="0"/>
          <w:numId w:val="1"/>
        </w:numPr>
        <w:spacing w:after="80"/>
      </w:pPr>
      <w:r>
        <w:rPr>
          <w:sz w:val="21"/>
          <w:szCs w:val="21"/>
        </w:rPr>
        <w:t xml:space="preserve">Vitamin K wird nicht in K1/K2 unterschieden, obwohl das für die K2-Calcium-Aussage relevant wäre.</w:t>
      </w:r>
    </w:p>
    <w:p>
      <w:pPr>
        <w:pStyle w:val="ListParagraph"/>
        <w:numPr>
          <w:ilvl w:val="0"/>
          <w:numId w:val="1"/>
        </w:numPr>
        <w:spacing w:after="80"/>
      </w:pPr>
      <w:r>
        <w:rPr>
          <w:sz w:val="21"/>
          <w:szCs w:val="21"/>
        </w:rPr>
        <w:t xml:space="preserve">Der Anti-Aging-Terminologie-Konflikt aus Abschnitt 2.</w:t>
      </w:r>
    </w:p>
    <w:p>
      <w:pPr>
        <w:pStyle w:val="Heading1"/>
        <w:spacing w:after="160" w:before="320"/>
      </w:pPr>
      <w:r>
        <w:rPr>
          <w:b/>
          <w:bCs/>
          <w:color w:val="1a7a6e"/>
          <w:sz w:val="28"/>
          <w:szCs w:val="28"/>
        </w:rPr>
        <w:t xml:space="preserve">8. Was ist aktuell nicht korrekt oder missverständlich dargestellt?</w:t>
      </w:r>
    </w:p>
    <w:p>
      <w:pPr>
        <w:spacing w:after="140"/>
      </w:pPr>
      <w:r>
        <w:rPr>
          <w:b w:val="false"/>
          <w:bCs w:val="false"/>
          <w:i w:val="false"/>
          <w:iCs w:val="false"/>
          <w:sz w:val="21"/>
          <w:szCs w:val="21"/>
        </w:rPr>
        <w:t xml:space="preserve">Positive Rückmeldung zuerst: Das in Runde 2 gefundene Kernproblem (DGE-Zufuhrwerte wurden wie Laborwerte dargestellt) ist mit den Zugänglichkeits-Tiers (diary/selftest/lab_common/lab_specialist) inzwischen sauber gelöst – dieser Punkt gilt als geschlossen.</w:t>
      </w:r>
    </w:p>
    <w:p>
      <w:pPr>
        <w:spacing w:after="140"/>
      </w:pPr>
      <w:r>
        <w:rPr>
          <w:b w:val="false"/>
          <w:bCs w:val="false"/>
          <w:i w:val="false"/>
          <w:iCs w:val="false"/>
          <w:sz w:val="21"/>
          <w:szCs w:val="21"/>
        </w:rPr>
        <w:t xml:space="preserve">Neu gefunden: Der "🔄 Wechselwirkungen"-Abschnitt im Trend-Screen zeigt nur etwas an, wenn ein Nährstoff in einem der 15 (künftig 24) Paare vorkommt. Für die meisten der 47 Nährstoffe bleibt der Abschnitt komplett leer – das kann bei Nutzer:innen ankommen als "dieser Nährstoff hat keine Wechselwirkungen", obwohl es schlicht noch nicht dokumentiert ist. Empfehlung: ein neutraler Platzhaltertext ("Für diesen Nährstoff sind noch keine Wechselwirkungen hinterlegt") statt eines stillschweigend leeren Bereichs.</w:t>
      </w:r>
    </w:p>
    <w:p>
      <w:pPr>
        <w:pStyle w:val="Heading1"/>
        <w:spacing w:after="160" w:before="320"/>
      </w:pPr>
      <w:r>
        <w:rPr>
          <w:b/>
          <w:bCs/>
          <w:color w:val="1a7a6e"/>
          <w:sz w:val="28"/>
          <w:szCs w:val="28"/>
        </w:rPr>
        <w:t xml:space="preserve">9. Reichen 250 Rezepte? (Ernährungsberater + App-Entwickler)</w:t>
      </w:r>
    </w:p>
    <w:p>
      <w:pPr>
        <w:spacing w:after="140"/>
      </w:pPr>
      <w:r>
        <w:rPr>
          <w:b w:val="false"/>
          <w:bCs w:val="false"/>
          <w:i w:val="false"/>
          <w:iCs w:val="false"/>
          <w:sz w:val="21"/>
          <w:szCs w:val="21"/>
        </w:rPr>
        <w:t xml:space="preserve">Tatsächlicher Stand: 258 Rezepte. Verteilung nach Kategorie: 96 vegetarisch, 92 Fleisch/Fisch, 70 Keto. Nach Mahlzeit-Typ: 168 "lunch" (wird laut Wochenplan-Code sowohl für Mittag- als auch Abendessen verwendet), 47 Frühstück, 43 Snack.</w:t>
      </w:r>
    </w:p>
    <w:p>
      <w:pPr>
        <w:spacing w:after="140"/>
      </w:pPr>
      <w:r>
        <w:rPr>
          <w:b w:val="false"/>
          <w:bCs w:val="false"/>
          <w:i w:val="false"/>
          <w:iCs w:val="false"/>
          <w:sz w:val="21"/>
          <w:szCs w:val="21"/>
        </w:rPr>
        <w:t xml:space="preserve">Das eigentliche Problem ist nicht die Gesamtzahl, sondern die Nährstoff-Tag-Verteilung: von 21 getaggten Nährstoffen hat Mangan nur 1 Rezept, Biotin nur 2, während Vitamin D (69), Omega-3 (67) und Cholin (61) gut abgedeckt sind. Der bestehende Algorithmus für die "nährstoff-bewusste Rezeptauswahl" (bevorzugt unterversorgte Nährstoffe) hat bei Mangan/Biotin damit praktisch keine Auswahl und wird schnell repetitiv. In Kombination mit dem Unverträglichkeiten-Filter (Laktose/Gluten/Nuss) schrumpft der wirksame Pool weiter – gerade bei Frühstück (47) und Snack (43) dürfte er für eine mehrwöchige Rotation zu klein werden.</w:t>
      </w:r>
    </w:p>
    <w:p>
      <w:pPr>
        <w:spacing w:after="140"/>
      </w:pPr>
      <w:r>
        <w:rPr>
          <w:b w:val="false"/>
          <w:bCs w:val="false"/>
          <w:i w:val="false"/>
          <w:iCs w:val="false"/>
          <w:sz w:val="21"/>
          <w:szCs w:val="21"/>
        </w:rPr>
        <w:t xml:space="preserve">Gemeinsame Empfehlung: nicht pauschal auf 500 verdoppeln, sondern gezielt Lücken schließen – zuerst Frühstück/Snack ausbauen und gezielt Mangan-/Biotin-reiche Rezepte ergänzen, danach die Gesamtzahl in Richtung 400–500 anheben. Reines Hochskalieren ohne bessere Tag-Verteilung würde das eigentliche Problem nicht lösen.</w:t>
      </w:r>
    </w:p>
    <w:p>
      <w:pPr>
        <w:pStyle w:val="Heading1"/>
        <w:spacing w:after="160" w:before="320"/>
      </w:pPr>
      <w:r>
        <w:rPr>
          <w:b/>
          <w:bCs/>
          <w:color w:val="1a7a6e"/>
          <w:sz w:val="28"/>
          <w:szCs w:val="28"/>
        </w:rPr>
        <w:t xml:space="preserve">10. Automatisches Eintragen bei Rezept-Zubereitung (App-Entwickler)</w:t>
      </w:r>
    </w:p>
    <w:p>
      <w:pPr>
        <w:spacing w:after="140"/>
      </w:pPr>
      <w:r>
        <w:rPr>
          <w:b w:val="false"/>
          <w:bCs w:val="false"/>
          <w:i w:val="false"/>
          <w:iCs w:val="false"/>
          <w:sz w:val="21"/>
          <w:szCs w:val="21"/>
        </w:rPr>
        <w:t xml:space="preserve">Grundsätzlich technisch möglich und vollständig lokal umsetzbar – kein Cloud-Bedarf, passt zur bestehenden DSGVO-Positionierung.</w:t>
      </w:r>
    </w:p>
    <w:p>
      <w:pPr>
        <w:spacing w:after="140"/>
      </w:pPr>
      <w:r>
        <w:rPr>
          <w:b w:val="false"/>
          <w:bCs w:val="false"/>
          <w:i w:val="false"/>
          <w:iCs w:val="false"/>
          <w:sz w:val="21"/>
          <w:szCs w:val="21"/>
        </w:rPr>
        <w:t xml:space="preserve">Aktuelle Hürde: Rezept-Zutaten sind Freitext ("300 g frischer Blattspinat"), nicht strukturiert mit den BLS-Lebensmitteldatensätzen verknüpft – jedes Rezept trägt nur qualitative Tags ("vitamin_d"), keine berechneten Nährwerte. Für echtes automatisches Eintragen gibt es zwei Wege: (a) jede Zutat jedes Rezepts einmalig mit einem konkreten BLS-Eintrag plus Menge verknüpfen – größeres, aber einmaliges und zuverlässiges Datenprojekt, oder (b) Freitext zur Laufzeit gegen die 7.140 BLS-Einträge fuzzy matchen – weniger Vorarbeit, aber fehleranfälliger bei Formulierungen und Mengenangaben.</w:t>
      </w:r>
    </w:p>
    <w:p>
      <w:pPr>
        <w:spacing w:after="140"/>
      </w:pPr>
      <w:r>
        <w:rPr>
          <w:b w:val="false"/>
          <w:bCs w:val="false"/>
          <w:i w:val="false"/>
          <w:iCs w:val="false"/>
          <w:sz w:val="21"/>
          <w:szCs w:val="21"/>
        </w:rPr>
        <w:t xml:space="preserve">Empfehlung: Option (a), weil bei einer Vitalstoff-App ein falsch zugeordneter Wert schlimmer wäre als gar keiner. Sobald die Zutaten strukturiert sind, ist ein "Rezept gekocht"-Button, der die Tagesbilanz automatisch ergänzt, eine überschaubare Erweiterung von mealPlan.js und nutritionRepo.</w:t>
      </w:r>
    </w:p>
    <w:p>
      <w:pPr>
        <w:pStyle w:val="Heading1"/>
        <w:spacing w:after="160" w:before="320"/>
      </w:pPr>
      <w:r>
        <w:rPr>
          <w:b/>
          <w:bCs/>
          <w:color w:val="1a7a6e"/>
          <w:sz w:val="28"/>
          <w:szCs w:val="28"/>
        </w:rPr>
        <w:t xml:space="preserve">11. QR-Code / Foto-Erkennung (App-Entwickler + DSGVO-Experte)</w:t>
      </w:r>
    </w:p>
    <w:p>
      <w:pPr>
        <w:spacing w:after="140"/>
      </w:pPr>
      <w:r>
        <w:rPr>
          <w:b w:val="false"/>
          <w:bCs w:val="false"/>
          <w:i w:val="false"/>
          <w:iCs w:val="false"/>
          <w:sz w:val="21"/>
          <w:szCs w:val="21"/>
        </w:rPr>
        <w:t xml:space="preserve">Wichtig: Das sind zwei technisch sehr unterschiedliche Dinge, die in der Frage zusammen genannt wurden.</w:t>
      </w:r>
    </w:p>
    <w:p>
      <w:pPr>
        <w:spacing w:after="60" w:before="200"/>
      </w:pPr>
      <w:r>
        <w:rPr>
          <w:b/>
          <w:bCs/>
          <w:color w:val="1a7a6e"/>
          <w:sz w:val="22"/>
          <w:szCs w:val="22"/>
        </w:rPr>
        <w:t xml:space="preserve">QR-Code</w:t>
      </w:r>
    </w:p>
    <w:p>
      <w:pPr>
        <w:spacing w:after="140"/>
      </w:pPr>
      <w:r>
        <w:rPr>
          <w:b w:val="false"/>
          <w:bCs w:val="false"/>
          <w:i w:val="false"/>
          <w:iCs w:val="false"/>
          <w:sz w:val="21"/>
          <w:szCs w:val="21"/>
        </w:rPr>
        <w:t xml:space="preserve">Unkompliziert und 100 % lokal machbar. Codiert der QR-Code (z. B. auf einer eigenen Rezeptkarte) nur eine Rezept-ID, kann die Kamera das offline scannen und die App trägt automatisch das passende Rezept ein – keine Serveranbindung nötig, die DSGVO-Position bleibt vollständig unangetastet.</w:t>
      </w:r>
    </w:p>
    <w:p>
      <w:pPr>
        <w:spacing w:after="60" w:before="200"/>
      </w:pPr>
      <w:r>
        <w:rPr>
          <w:b/>
          <w:bCs/>
          <w:color w:val="1a7a6e"/>
          <w:sz w:val="22"/>
          <w:szCs w:val="22"/>
        </w:rPr>
        <w:t xml:space="preserve">Foto-Erkennung eines Gerichts</w:t>
      </w:r>
    </w:p>
    <w:p>
      <w:pPr>
        <w:spacing w:after="140"/>
      </w:pPr>
      <w:r>
        <w:rPr>
          <w:b w:val="false"/>
          <w:bCs w:val="false"/>
          <w:i w:val="false"/>
          <w:iCs w:val="false"/>
          <w:sz w:val="21"/>
          <w:szCs w:val="21"/>
        </w:rPr>
        <w:t xml:space="preserve">Das ist echte Bilderkennung (Computer Vision) und damit eine andere Kategorie:</w:t>
      </w:r>
    </w:p>
    <w:p>
      <w:pPr>
        <w:pStyle w:val="ListParagraph"/>
        <w:numPr>
          <w:ilvl w:val="0"/>
          <w:numId w:val="1"/>
        </w:numPr>
        <w:spacing w:after="80"/>
      </w:pPr>
      <w:r>
        <w:rPr>
          <w:sz w:val="21"/>
          <w:szCs w:val="21"/>
        </w:rPr>
        <w:t xml:space="preserve">On-Device-Modell (z. B. TensorFlow Lite): möglich, aber vergrößert die App um mehrere hundert MB und liefert bei selbst gekochten, gemischten Gerichten ("Linsen-Curry mit Spinat" statt Markenprodukt) erfahrungsgemäß nur eine grobe Kategorie, keine belastbaren Nährwerte.</w:t>
      </w:r>
    </w:p>
    <w:p>
      <w:pPr>
        <w:pStyle w:val="ListParagraph"/>
        <w:numPr>
          <w:ilvl w:val="0"/>
          <w:numId w:val="1"/>
        </w:numPr>
        <w:spacing w:after="80"/>
      </w:pPr>
      <w:r>
        <w:rPr>
          <w:sz w:val="21"/>
          <w:szCs w:val="21"/>
        </w:rPr>
        <w:t xml:space="preserve">Cloud-basierte Erkennung (Vision-API): einfacher zu bauen und deutlich genauer – aber das Foto verlässt dann das Gerät. Das bricht die aktuelle "100 % lokal, kein Server"-Positionierung, erfordert einen Auftragsverarbeitungsvertrag (Art. 28 DSGVO) mit dem Anbieter, eine erweiterte Einwilligung und eine ehrliche Anpassung von Datenschutzerklärung, Consent-Screen UND der Google-Play-Health-Content-Deklaration.</w:t>
      </w:r>
    </w:p>
    <w:p>
      <w:pPr>
        <w:pBdr>
          <w:left w:val="single" w:color="1a7a6e" w:sz="18" w:space="8"/>
        </w:pBdr>
        <w:spacing w:after="160"/>
        <w:ind w:left="200"/>
      </w:pPr>
      <w:r>
        <w:rPr>
          <w:i/>
          <w:iCs/>
          <w:color w:val="616161"/>
          <w:sz w:val="20"/>
          <w:szCs w:val="20"/>
        </w:rPr>
        <w:t xml:space="preserve">Gemeinsame Empfehlung von App-Entwickler und DSGVO-Experte: QR-Code umsetzen, keine Kompromisse nötig. Foto-Erkennung nur verfolgen, wenn du bewusst bereit bist, für dieses eine Feature die "100 % lokal"-Positionierung aufzugeben – dann als klar gekennzeichnetes, optionales Extra mit eigener Einwilligung, nicht als stille Erweiterung.</w:t>
      </w:r>
    </w:p>
    <w:p>
      <w:pPr>
        <w:pStyle w:val="Heading1"/>
        <w:spacing w:after="160" w:before="320"/>
      </w:pPr>
      <w:r>
        <w:rPr>
          <w:b/>
          <w:bCs/>
          <w:color w:val="1a7a6e"/>
          <w:sz w:val="28"/>
          <w:szCs w:val="28"/>
        </w:rPr>
        <w:t xml:space="preserve">12. Gemeinsame Schlussfolgerung</w:t>
      </w:r>
    </w:p>
    <w:p>
      <w:pPr>
        <w:spacing w:after="140"/>
      </w:pPr>
      <w:r>
        <w:rPr>
          <w:b w:val="false"/>
          <w:bCs w:val="false"/>
          <w:i w:val="false"/>
          <w:iCs w:val="false"/>
          <w:sz w:val="21"/>
          <w:szCs w:val="21"/>
        </w:rPr>
        <w:t xml:space="preserve">Deine Ausgangsthese trifft zu: Der Mehrwert gegenüber Yazio &amp; Co. liegt im Verstehen, nicht im reinen Tracken. Die Infrastruktur dafür existiert teilweise bereits (Interaktionen, saisonale Tipps, Zugänglichkeits-Tiers), ist aber unvollständig und an einer Stelle komplett ungenutzt (leeres insightsByNutrient.json). Traditionelle Perspektiven (Heilpraktiker/TCM) können dieses Verstehens-Angebot echt differenzieren, müssen aber sauber von den EFSA-geprüften Kernaussagen getrennt bleiben, um die bestehende Wellness-Positionierung nicht zu gefährden. Bei den Rezepten lohnt sich gezielter Ausbau statt pauschaler Verdopplung. Automatisches Eintragen ist technisch und rechtlich unproblematisch, aber ein echtes Datenprojekt. QR-Code lohnt sich uneingeschränkt, Foto-Erkennung nur mit einer bewussten Entscheidung gegen die 100-%-lokal-Position.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2026-07-25T03:53:13.482Z</dcterms:created>
  <dcterms:modified xsi:type="dcterms:W3CDTF">2026-07-25T03:53:13.486Z</dcterms:modified>
</cp:coreProperties>
</file>

<file path=docProps/custom.xml><?xml version="1.0" encoding="utf-8"?>
<Properties xmlns="http://schemas.openxmlformats.org/officeDocument/2006/custom-properties" xmlns:vt="http://schemas.openxmlformats.org/officeDocument/2006/docPropsVTypes"/>
</file>