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F6E6E"/>
          <w:sz w:val="40"/>
          <w:szCs w:val="40"/>
        </w:rPr>
        <w:t xml:space="preserve">WellANNI</w:t>
      </w:r>
    </w:p>
    <w:p>
      <w:pPr>
        <w:spacing w:after="400"/>
        <w:jc w:val="center"/>
      </w:pPr>
      <w:r>
        <w:rPr>
          <w:b/>
          <w:bCs/>
          <w:color w:val="1B2A4A"/>
          <w:sz w:val="26"/>
          <w:szCs w:val="26"/>
        </w:rPr>
        <w:t xml:space="preserve">Experten-Review 5: PMS, Prämenopause &amp; Menopause</w:t>
      </w:r>
    </w:p>
    <w:p>
      <w:pPr>
        <w:pStyle w:val="Heading1"/>
        <w:spacing w:after="200" w:before="400"/>
      </w:pPr>
      <w:r>
        <w:rPr>
          <w:b/>
          <w:bCs/>
          <w:color w:val="1B2A4A"/>
          <w:sz w:val="30"/>
          <w:szCs w:val="30"/>
        </w:rPr>
        <w:t xml:space="preserve">1. Auftrag</w:t>
      </w:r>
    </w:p>
    <w:p>
      <w:pPr>
        <w:spacing w:after="140"/>
      </w:pPr>
      <w:r>
        <w:rPr>
          <w:sz w:val="21"/>
          <w:szCs w:val="21"/>
        </w:rPr>
        <w:t xml:space="preserve">Nicole möchte das Thema Zyklus-Gesundheit über die reine Mikronährstoff-Information hinaus erweitern: PMS, Prämenopause und Menopause sollen mit aufgenommen werden, weil sie mit den bereits in der App vorhandenen Mikronährstoffen zusammenhängen und ein zunehmend öffentlich diskutiertes Thema sind. Konkrete Zusatzfrage: Können die Symptome bereits heute im bestehenden Zykluskalender getrackt werden?</w:t>
      </w:r>
    </w:p>
    <w:p>
      <w:pPr>
        <w:spacing w:after="140"/>
      </w:pPr>
      <w:r>
        <w:rPr>
          <w:sz w:val="21"/>
          <w:szCs w:val="21"/>
        </w:rPr>
        <w:t xml:space="preserve">Dazu wurde ein Panel aus vier Perspektiven konsultiert: eine Ernährungsberaterin, eine Heilpraktikerin, eine Gynäkologin und eine Wissenschaftlerin, die die Evidenzlage einordnet.</w:t>
      </w:r>
    </w:p>
    <w:p>
      <w:pPr>
        <w:pStyle w:val="Heading1"/>
        <w:spacing w:after="200" w:before="400"/>
      </w:pPr>
      <w:r>
        <w:rPr>
          <w:b/>
          <w:bCs/>
          <w:color w:val="1B2A4A"/>
          <w:sz w:val="30"/>
          <w:szCs w:val="30"/>
        </w:rPr>
        <w:t xml:space="preserve">2. Technischer Ist-Stand (code-geprüft)</w:t>
      </w:r>
    </w:p>
    <w:p>
      <w:pPr>
        <w:spacing w:after="140"/>
      </w:pPr>
      <w:r>
        <w:rPr>
          <w:sz w:val="21"/>
          <w:szCs w:val="21"/>
        </w:rPr>
        <w:t xml:space="preserve">Bevor das Panel inhaltlich diskutiert, die Antwort auf Nicoles technische Frage: Nein, Symptome können im Zykluskalender aktuell noch nicht getrackt werden.</w:t>
      </w:r>
    </w:p>
    <w:p>
      <w:pPr>
        <w:pBdr>
          <w:left w:val="single" w:color="0F6E6E" w:sz="24"/>
        </w:pBdr>
        <w:shd w:fill="EAF4F3" w:val="clear"/>
        <w:spacing w:after="200" w:before="100"/>
      </w:pPr>
      <w:r>
        <w:rPr>
          <w:b/>
          <w:bCs/>
          <w:color w:val="0F6E6E"/>
          <w:sz w:val="21"/>
          <w:szCs w:val="21"/>
        </w:rPr>
        <w:t xml:space="preserve">Befund: </w:t>
      </w:r>
      <w:r>
        <w:rPr>
          <w:sz w:val="21"/>
          <w:szCs w:val="21"/>
        </w:rPr>
        <w:t xml:space="preserve">„cycleRepo.js" speichert ausschließlich periodStarts (Liste der Periodenstart-Daten), periodLength und avgCycleLength. Es gibt kein Feld für Symptome, Stimmung oder Intensität – der Kalender berechnet nur Zyklusphase und Vorhersage aus den Start-Daten.</w:t>
      </w:r>
    </w:p>
    <w:p>
      <w:pPr>
        <w:spacing w:after="140"/>
      </w:pPr>
      <w:r>
        <w:rPr>
          <w:sz w:val="21"/>
          <w:szCs w:val="21"/>
        </w:rPr>
        <w:t xml:space="preserve">Gute Nachricht: Es gibt in der App bereits ein fast deckungsgleiches Muster, das man wiederverwenden kann – das Heißhunger-Journal (cravingsRepo.js). Dort wird pro Eintrag Datum, eine wählbare Stimmung ("mood"), ein Auslöser ("trigger") und eine Notiz gespeichert. Ein Symptom-Tagebuch für PMS/Perimenopause/Menopause wäre technisch derselbe Bauplan, nur mit anderen Tags (z. B. Krämpfe, Kopfschmerzen, Hitzewallungen, Schlafprobleme, Stimmungsschwankungen, Blähungen, Erschöpfung, Heißhunger) – kombiniert mit der Zyklusphasen-Berechnung, die in cycleRepo.js schon existiert.</w:t>
      </w:r>
    </w:p>
    <w:p>
      <w:pPr>
        <w:pStyle w:val="Heading1"/>
        <w:spacing w:after="200" w:before="400"/>
      </w:pPr>
      <w:r>
        <w:rPr>
          <w:b/>
          <w:bCs/>
          <w:color w:val="1B2A4A"/>
          <w:sz w:val="30"/>
          <w:szCs w:val="30"/>
        </w:rPr>
        <w:t xml:space="preserve">3. Expertenrunde</w:t>
      </w:r>
    </w:p>
    <w:p>
      <w:pPr>
        <w:spacing w:after="100" w:before="260"/>
      </w:pPr>
      <w:r>
        <w:rPr>
          <w:b/>
          <w:bCs/>
          <w:color w:val="1B2A4A"/>
          <w:sz w:val="23"/>
          <w:szCs w:val="23"/>
        </w:rPr>
        <w:t xml:space="preserve">Ernährungsberaterin </w:t>
      </w:r>
      <w:r>
        <w:rPr>
          <w:i/>
          <w:iCs/>
          <w:color w:val="595959"/>
          <w:sz w:val="21"/>
          <w:szCs w:val="21"/>
        </w:rPr>
        <w:t xml:space="preserve">– Mikronährstoffe je Lebensphase</w:t>
      </w:r>
    </w:p>
    <w:p>
      <w:pPr>
        <w:spacing w:after="140"/>
      </w:pPr>
      <w:r>
        <w:rPr>
          <w:sz w:val="21"/>
          <w:szCs w:val="21"/>
        </w:rPr>
        <w:t xml:space="preserve">Die App deckt mit Magnesium, Vitamin B6, Calcium, Eisen, Omega-3, Zink und Vitamin D bereits fast alle Nährstoffe ab, die bei PMS, Prämenopause und Menopause eine Rolle spielen – es braucht also überwiegend neue Inhalte, kaum neue Nährstoffe.</w:t>
      </w:r>
    </w:p>
    <w:p>
      <w:pPr>
        <w:pStyle w:val="ListParagraph"/>
        <w:numPr>
          <w:ilvl w:val="0"/>
          <w:numId w:val="1"/>
        </w:numPr>
        <w:spacing w:after="80"/>
      </w:pPr>
      <w:r>
        <w:rPr>
          <w:sz w:val="21"/>
          <w:szCs w:val="21"/>
        </w:rPr>
        <w:t xml:space="preserve">PMS (Lutealphase): Magnesium und Vitamin B6 gegen Stimmungsschwankungen und Reizbarkeit, Calcium gegen körperliche PMS-Symptome, komplexe Kohlenhydrate zur Blutzuckerstabilisierung, weniger Salz gegen Wassereinlagerungen, weniger Koffein/Alkohol gegen Reizbarkeit und Schlafprobleme – deckt sich mit dem, was in CYCLE_NUTRIENTS für die Lutealphase schon hinterlegt ist.</w:t>
      </w:r>
    </w:p>
    <w:p>
      <w:pPr>
        <w:pStyle w:val="ListParagraph"/>
        <w:numPr>
          <w:ilvl w:val="0"/>
          <w:numId w:val="1"/>
        </w:numPr>
        <w:spacing w:after="80"/>
      </w:pPr>
      <w:r>
        <w:rPr>
          <w:sz w:val="21"/>
          <w:szCs w:val="21"/>
        </w:rPr>
        <w:t xml:space="preserve">Prämenopause: Eisen bleibt wichtig, wenn Blutungen stärker/unregelmäßiger werden; Protein für den Muskelerhalt bei sinkendem Östrogen; Ballaststoffe für Blutzucker- und Hormonstoffwechsel.</w:t>
      </w:r>
    </w:p>
    <w:p>
      <w:pPr>
        <w:pStyle w:val="ListParagraph"/>
        <w:numPr>
          <w:ilvl w:val="0"/>
          <w:numId w:val="1"/>
        </w:numPr>
        <w:spacing w:after="80"/>
      </w:pPr>
      <w:r>
        <w:rPr>
          <w:sz w:val="21"/>
          <w:szCs w:val="21"/>
        </w:rPr>
        <w:t xml:space="preserve">Menopause: Calcium, Vitamin D und Vitamin K2 für die Knochengesundheit (Östrogenabfall erhöht Osteoporose-Risiko), Omega-3 gegen Gelenkbeschwerden und für die Herz-Kreislauf-Gesundheit, B-Vitamine für Energie und Nervensystem.</w:t>
      </w:r>
    </w:p>
    <w:p>
      <w:pPr>
        <w:spacing w:after="140"/>
      </w:pPr>
      <w:r>
        <w:rPr>
          <w:sz w:val="21"/>
          <w:szCs w:val="21"/>
        </w:rPr>
        <w:t xml:space="preserve">Wichtig aus Ernährungssicht: Phytoöstrogene (Soja, Leinsamen) werden bei Hitzewallungen oft empfohlen, die Studienlage ist aber uneinheitlich – siehe Einordnung der Wissenschaftlerin unten.</w:t>
      </w:r>
    </w:p>
    <w:p>
      <w:pPr>
        <w:spacing w:after="100" w:before="260"/>
      </w:pPr>
      <w:r>
        <w:rPr>
          <w:b/>
          <w:bCs/>
          <w:color w:val="1B2A4A"/>
          <w:sz w:val="23"/>
          <w:szCs w:val="23"/>
        </w:rPr>
        <w:t xml:space="preserve">Heilpraktikerin </w:t>
      </w:r>
      <w:r>
        <w:rPr>
          <w:i/>
          <w:iCs/>
          <w:color w:val="595959"/>
          <w:sz w:val="21"/>
          <w:szCs w:val="21"/>
        </w:rPr>
        <w:t xml:space="preserve">– Komplementäre Perspektive</w:t>
      </w:r>
    </w:p>
    <w:p>
      <w:pPr>
        <w:spacing w:after="140"/>
      </w:pPr>
      <w:r>
        <w:rPr>
          <w:sz w:val="21"/>
          <w:szCs w:val="21"/>
        </w:rPr>
        <w:t xml:space="preserve">Aus heilpraktischer/phytotherapeutischer Sicht werden bei PMS häufig Mönchspfeffer (Vitex agnus-castus) und bei Wechseljahresbeschwerden Traubensilberkerze (Cimicifuga racemosa) eingesetzt – beides sind etablierte pflanzliche Präparate mit langer Anwendungstradition, aber unterschiedlich starker klinischer Evidenz.</w:t>
      </w:r>
    </w:p>
    <w:p>
      <w:pPr>
        <w:spacing w:after="140"/>
      </w:pPr>
      <w:r>
        <w:rPr>
          <w:sz w:val="21"/>
          <w:szCs w:val="21"/>
        </w:rPr>
        <w:t xml:space="preserve">Aus TCM-Sicht wird PMS oft als „Leber-Qi-Stagnation" gedeutet, Wechseljahresbeschwerden als Ungleichgewicht von Yin und Yang. Wie beim Eisen-Beispiel in der bestehenden Traditionelle-Perspektiven-Sektion überschneiden sich manche traditionell empfohlenen Lebensmittel/Kräuter mit schulmedizinisch sinnvollen Empfehlungen – auch wenn die Begründung eine andere ist.</w:t>
      </w:r>
    </w:p>
    <w:p>
      <w:pPr>
        <w:pBdr>
          <w:left w:val="single" w:color="0F6E6E" w:sz="24"/>
        </w:pBdr>
        <w:shd w:fill="EAF4F3" w:val="clear"/>
        <w:spacing w:after="200" w:before="100"/>
      </w:pPr>
      <w:r>
        <w:rPr>
          <w:b/>
          <w:bCs/>
          <w:color w:val="0F6E6E"/>
          <w:sz w:val="21"/>
          <w:szCs w:val="21"/>
        </w:rPr>
        <w:t xml:space="preserve">Einordnung: </w:t>
      </w:r>
      <w:r>
        <w:rPr>
          <w:sz w:val="21"/>
          <w:szCs w:val="21"/>
        </w:rPr>
        <w:t xml:space="preserve">Genau wie beim bereits bestehenden Heilpraktiker/TCM-Abschnitt gilt: diese Inhalte müssten klar separiert, mit dem bestehenden Pflichthinweis versehen und dürften nicht mit den EFSA-geprüften Kernaussagen vermischt werden.</w:t>
      </w:r>
    </w:p>
    <w:p>
      <w:pPr>
        <w:spacing w:after="100" w:before="260"/>
      </w:pPr>
      <w:r>
        <w:rPr>
          <w:b/>
          <w:bCs/>
          <w:color w:val="1B2A4A"/>
          <w:sz w:val="23"/>
          <w:szCs w:val="23"/>
        </w:rPr>
        <w:t xml:space="preserve">Gynäkologin </w:t>
      </w:r>
      <w:r>
        <w:rPr>
          <w:i/>
          <w:iCs/>
          <w:color w:val="595959"/>
          <w:sz w:val="21"/>
          <w:szCs w:val="21"/>
        </w:rPr>
        <w:t xml:space="preserve">– Medizinische Einordnung &amp; Grenzen</w:t>
      </w:r>
    </w:p>
    <w:p>
      <w:pPr>
        <w:spacing w:after="140"/>
      </w:pPr>
      <w:r>
        <w:rPr>
          <w:sz w:val="21"/>
          <w:szCs w:val="21"/>
        </w:rPr>
        <w:t xml:space="preserve">Zwei Dinge sind der Gynäkologin besonders wichtig, bevor an Inhalten oder Tracking gearbeitet wird:</w:t>
      </w:r>
    </w:p>
    <w:p>
      <w:pPr>
        <w:pStyle w:val="ListParagraph"/>
        <w:numPr>
          <w:ilvl w:val="0"/>
          <w:numId w:val="1"/>
        </w:numPr>
        <w:spacing w:after="80"/>
      </w:pPr>
      <w:r>
        <w:rPr>
          <w:sz w:val="21"/>
          <w:szCs w:val="21"/>
        </w:rPr>
        <w:t xml:space="preserve">Abgrenzung PMS vs. PMDS: Prämenstruelle dysphorische Störung (PMDS) ist eine deutlich schwerere, behandlungsbedürftige Form mit ausgeprägten Stimmungssymptomen bis hin zu depressiven Verstimmungen. Ein Symptom-Tracker sollte – wenn er kommt – so gestaltet sein, dass wiederkehrende, starke Belastung nicht bagatellisiert, sondern mit einem Hinweis auf ärztliche/therapeutische Abklärung begleitet wird.</w:t>
      </w:r>
    </w:p>
    <w:p>
      <w:pPr>
        <w:pStyle w:val="ListParagraph"/>
        <w:numPr>
          <w:ilvl w:val="0"/>
          <w:numId w:val="1"/>
        </w:numPr>
        <w:spacing w:after="80"/>
      </w:pPr>
      <w:r>
        <w:rPr>
          <w:sz w:val="21"/>
          <w:szCs w:val="21"/>
        </w:rPr>
        <w:t xml:space="preserve">Rote Flaggen, die klar zur ärztlichen Abklärung führen sollten: sehr starke oder ungewöhnlich lange Blutungen, plötzliche Zyklusveränderungen, Blutungen nach der Menopause, Zyklen dauerhaft unter 21 oder über 35 Tagen. Die App darf hier nicht diagnostizieren, aber sinnvoll auf diese Schwellen hinweisen können, weil die Zyklusdaten ja schon vorliegen.</w:t>
      </w:r>
    </w:p>
    <w:p>
      <w:pPr>
        <w:spacing w:after="140"/>
      </w:pPr>
      <w:r>
        <w:rPr>
          <w:sz w:val="21"/>
          <w:szCs w:val="21"/>
        </w:rPr>
        <w:t xml:space="preserve">Perimenopause und Menopause sind kein Krankheitszustand, sondern ein natürlicher Übergang – die Sprache in der App sollte das durchgängig so einordnen (keine Pathologisierung), auch wenn einzelne Symptome ernst genommen werden sollen.</w:t>
      </w:r>
    </w:p>
    <w:p>
      <w:pPr>
        <w:spacing w:after="100" w:before="260"/>
      </w:pPr>
      <w:r>
        <w:rPr>
          <w:b/>
          <w:bCs/>
          <w:color w:val="1B2A4A"/>
          <w:sz w:val="23"/>
          <w:szCs w:val="23"/>
        </w:rPr>
        <w:t xml:space="preserve">Wissenschaftlerin </w:t>
      </w:r>
      <w:r>
        <w:rPr>
          <w:i/>
          <w:iCs/>
          <w:color w:val="595959"/>
          <w:sz w:val="21"/>
          <w:szCs w:val="21"/>
        </w:rPr>
        <w:t xml:space="preserve">– Evidenz-Einordnung</w:t>
      </w:r>
    </w:p>
    <w:p>
      <w:pPr>
        <w:spacing w:after="140"/>
      </w:pPr>
      <w:r>
        <w:rPr>
          <w:sz w:val="21"/>
          <w:szCs w:val="21"/>
        </w:rPr>
        <w:t xml:space="preserve">Mit derselben Systematik wie in skinVitality.js (EVIDENCE.STRONG / EVIDENCE.EMERGING) lässt sich das Thema sauber einordnen:</w:t>
      </w:r>
    </w:p>
    <w:p>
      <w:pPr>
        <w:pStyle w:val="ListParagraph"/>
        <w:numPr>
          <w:ilvl w:val="0"/>
          <w:numId w:val="1"/>
        </w:numPr>
        <w:spacing w:after="80"/>
      </w:pPr>
      <w:r>
        <w:rPr>
          <w:sz w:val="21"/>
          <w:szCs w:val="21"/>
        </w:rPr>
        <w:t xml:space="preserve">Gut belegt: Calcium und Magnesium bei PMS-Symptomen, Vitamin D + Calcium für Knochengesundheit in und nach der Menopause, Omega-3 entzündungshemmend.</w:t>
      </w:r>
    </w:p>
    <w:p>
      <w:pPr>
        <w:pStyle w:val="ListParagraph"/>
        <w:numPr>
          <w:ilvl w:val="0"/>
          <w:numId w:val="1"/>
        </w:numPr>
        <w:spacing w:after="80"/>
      </w:pPr>
      <w:r>
        <w:rPr>
          <w:sz w:val="21"/>
          <w:szCs w:val="21"/>
        </w:rPr>
        <w:t xml:space="preserve">Vielversprechend, Forschung läuft: Vitex agnus-castus bei PMS, Phytoöstrogene bei Hitzewallungen (Studienergebnisse uneinheitlich, Wirkung scheint individuell sehr unterschiedlich), Cimicifuga bei Wechseljahresbeschwerden.</w:t>
      </w:r>
    </w:p>
    <w:p>
      <w:pPr>
        <w:pStyle w:val="ListParagraph"/>
        <w:numPr>
          <w:ilvl w:val="0"/>
          <w:numId w:val="1"/>
        </w:numPr>
        <w:spacing w:after="80"/>
      </w:pPr>
      <w:r>
        <w:rPr>
          <w:sz w:val="21"/>
          <w:szCs w:val="21"/>
        </w:rPr>
        <w:t xml:space="preserve">Traditionelle Erfahrungsmedizin ohne schulmedizinischen Nachweis: TCM-Konzepte wie Leber-Qi-Stagnation – gehört in den bestehenden, klar getrennten Heilpraktiker/TCM-Bereich.</w:t>
      </w:r>
    </w:p>
    <w:p>
      <w:pPr>
        <w:spacing w:after="140"/>
      </w:pPr>
      <w:r>
        <w:rPr>
          <w:sz w:val="21"/>
          <w:szCs w:val="21"/>
        </w:rPr>
        <w:t xml:space="preserve">Empfehlung der Wissenschaftlerin: Bei Formulierungen zu Vitex/Cimicifuga besonders vorsichtig sein – das sind pflanzliche Präparate mit Wirkstoffkonzentration, keine reinen Lebensmittel-Nährstoffe. Hier eher auf „wird traditionell/in Studien untersucht" verweisen als auf konkrete Wirkversprechen, um nicht in Arzneimittel-ähnliche Aussagen abzurutschen.</w:t>
      </w:r>
    </w:p>
    <w:p>
      <w:pPr>
        <w:pStyle w:val="Heading1"/>
        <w:spacing w:after="200" w:before="400"/>
      </w:pPr>
      <w:r>
        <w:rPr>
          <w:b/>
          <w:bCs/>
          <w:color w:val="1B2A4A"/>
          <w:sz w:val="30"/>
          <w:szCs w:val="30"/>
        </w:rPr>
        <w:t xml:space="preserve">4. Gemeinsame Einschätzung</w:t>
      </w:r>
    </w:p>
    <w:p>
      <w:pPr>
        <w:spacing w:after="140"/>
      </w:pPr>
      <w:r>
        <w:rPr>
          <w:sz w:val="21"/>
          <w:szCs w:val="21"/>
        </w:rPr>
        <w:t xml:space="preserve">Das Panel ist sich einig: Über die reine Information hinauszugehen ist inhaltlich sinnvoll und passt zur Grundidee der App (verstehen, was im Körper passiert), UND es ist technisch überraschend gut machbar – weil die notwendigen Bausteine (Zyklusphasen-Berechnung, Journal-Pattern aus dem Heißhunger-Tracker, Nährstoff-Insights-Framework, Traditionelle-Perspektiven-Mechanismus mit Pflichthinweis, EFSA-Diszplin) alle schon existieren. Es wäre im Kern eine Kombination bestehender Bausteine auf ein neues Thema, kein Neubau von Grund auf.</w:t>
      </w:r>
    </w:p>
    <w:p>
      <w:pPr>
        <w:spacing w:after="140"/>
      </w:pPr>
      <w:r>
        <w:rPr>
          <w:sz w:val="21"/>
          <w:szCs w:val="21"/>
        </w:rPr>
        <w:t xml:space="preserve">Ein neuer Baustein wäre nötig: ein Symptom-Tagebuch (analog Heißhunger-Journal) mit eigenen Tags für PMS-/Perimenopause-/Menopause-Symptome, verknüpft mit der Zyklusphase, plus – falls gewünscht – eine sanfte Verbindung zum Ernährungstagebuch (z. B. „in Zyklen mit stärkeren Symptomen war die Magnesium-Zufuhr im Schnitt niedriger"). Hier rät die Wissenschaftlerin zur Vorsicht: Bei wenigen getrackten Zyklen ist das eher eine Beobachtung als ein belastbarer Zusammenhang, das sollte in der Formulierung klar bleiben.</w:t>
      </w:r>
    </w:p>
    <w:p>
      <w:pPr>
        <w:pStyle w:val="Heading1"/>
        <w:spacing w:after="200" w:before="400"/>
      </w:pPr>
      <w:r>
        <w:rPr>
          <w:b/>
          <w:bCs/>
          <w:color w:val="1B2A4A"/>
          <w:sz w:val="30"/>
          <w:szCs w:val="30"/>
        </w:rPr>
        <w:t xml:space="preserve">5. Offene Entscheidungen für Nicole</w:t>
      </w:r>
    </w:p>
    <w:p>
      <w:pPr>
        <w:pStyle w:val="ListParagraph"/>
        <w:numPr>
          <w:ilvl w:val="0"/>
          <w:numId w:val="1"/>
        </w:numPr>
        <w:spacing w:after="80"/>
      </w:pPr>
      <w:r>
        <w:rPr>
          <w:sz w:val="21"/>
          <w:szCs w:val="21"/>
        </w:rPr>
        <w:t xml:space="preserve">Umfang: Nur Lerninhalt (wie das Heilfasten-Thema) oder auch aktives Symptom-Tracking (wie das Heißhunger-Journal)?</w:t>
      </w:r>
    </w:p>
    <w:p>
      <w:pPr>
        <w:pStyle w:val="ListParagraph"/>
        <w:numPr>
          <w:ilvl w:val="0"/>
          <w:numId w:val="1"/>
        </w:numPr>
        <w:spacing w:after="80"/>
      </w:pPr>
      <w:r>
        <w:rPr>
          <w:sz w:val="21"/>
          <w:szCs w:val="21"/>
        </w:rPr>
        <w:t xml:space="preserve">Falls Tracking: welche Symptome/Tags konkret, und soll es ein eigener Screen sein oder in den bestehenden Zykluskalender integriert werden?</w:t>
      </w:r>
    </w:p>
    <w:p>
      <w:pPr>
        <w:pStyle w:val="ListParagraph"/>
        <w:numPr>
          <w:ilvl w:val="0"/>
          <w:numId w:val="1"/>
        </w:numPr>
        <w:spacing w:after="80"/>
      </w:pPr>
      <w:r>
        <w:rPr>
          <w:sz w:val="21"/>
          <w:szCs w:val="21"/>
        </w:rPr>
        <w:t xml:space="preserve">Soll es eine sanfte Korrelation zum Ernährungstagebuch geben, oder erstmal bewusst nicht (weniger Interpretationsrisiko)?</w:t>
      </w:r>
    </w:p>
    <w:p>
      <w:pPr>
        <w:pStyle w:val="ListParagraph"/>
        <w:numPr>
          <w:ilvl w:val="0"/>
          <w:numId w:val="1"/>
        </w:numPr>
        <w:spacing w:after="80"/>
      </w:pPr>
      <w:r>
        <w:rPr>
          <w:sz w:val="21"/>
          <w:szCs w:val="21"/>
        </w:rPr>
        <w:t xml:space="preserve">Soll ein PMDS-/Rote-Flaggen-Hinweis (siehe Gynäkologin) von Anfang an mit rein, auch wenn er über "reine Information" hinausgeht?</w:t>
      </w:r>
    </w:p>
    <w:p>
      <w:pPr>
        <w:pStyle w:val="ListParagraph"/>
        <w:numPr>
          <w:ilvl w:val="0"/>
          <w:numId w:val="1"/>
        </w:numPr>
        <w:spacing w:after="80"/>
      </w:pPr>
      <w:r>
        <w:rPr>
          <w:sz w:val="21"/>
          <w:szCs w:val="21"/>
        </w:rPr>
        <w:t xml:space="preserve">Einordnung im Freemium-Modell: Teil des kostenlosen Zyklustrackers, oder wie die Hautgesundheit ein Premium-Baustein?</w:t>
      </w:r>
    </w:p>
    <w:p>
      <w:pPr>
        <w:pBdr>
          <w:top w:val="single" w:color="CCCCCC" w:sz="6"/>
        </w:pBdr>
        <w:spacing w:before="400"/>
      </w:pPr>
      <w:r>
        <w:rPr>
          <w:i/>
          <w:iCs/>
          <w:color w:val="595959"/>
          <w:sz w:val="16"/>
          <w:szCs w:val="16"/>
        </w:rPr>
        <w:t xml:space="preserve">WellANNI – Experten-Review 5 · erstellt 25.07.2026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2026-07-25T08:36:00.332Z</dcterms:created>
  <dcterms:modified xsi:type="dcterms:W3CDTF">2026-07-25T08:36:00.333Z</dcterms:modified>
</cp:coreProperties>
</file>

<file path=docProps/custom.xml><?xml version="1.0" encoding="utf-8"?>
<Properties xmlns="http://schemas.openxmlformats.org/officeDocument/2006/custom-properties" xmlns:vt="http://schemas.openxmlformats.org/officeDocument/2006/docPropsVTypes"/>
</file>