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F6E6E"/>
          <w:sz w:val="40"/>
          <w:szCs w:val="40"/>
        </w:rPr>
        <w:t xml:space="preserve">WellANNI</w:t>
      </w:r>
    </w:p>
    <w:p>
      <w:pPr>
        <w:spacing w:after="60"/>
        <w:jc w:val="center"/>
      </w:pPr>
      <w:r>
        <w:rPr>
          <w:b/>
          <w:bCs/>
          <w:color w:val="1B2A4A"/>
          <w:sz w:val="26"/>
          <w:szCs w:val="26"/>
        </w:rPr>
        <w:t xml:space="preserve">Experten-Review 5 – Ergänzung</w:t>
      </w:r>
    </w:p>
    <w:p>
      <w:pPr>
        <w:spacing w:after="400"/>
        <w:jc w:val="center"/>
      </w:pPr>
      <w:r>
        <w:rPr>
          <w:i/>
          <w:iCs/>
          <w:color w:val="595959"/>
          <w:sz w:val="21"/>
          <w:szCs w:val="21"/>
        </w:rPr>
        <w:t xml:space="preserve">Bewertung durch Regulatory-Affairs-Experte, App-Entwickler und UI-Expertin</w:t>
      </w:r>
    </w:p>
    <w:p>
      <w:pPr>
        <w:pStyle w:val="Heading1"/>
        <w:spacing w:after="200" w:before="400"/>
      </w:pPr>
      <w:r>
        <w:rPr>
          <w:b/>
          <w:bCs/>
          <w:color w:val="1B2A4A"/>
          <w:sz w:val="30"/>
          <w:szCs w:val="30"/>
        </w:rPr>
        <w:t xml:space="preserve">1. Auftrag</w:t>
      </w:r>
    </w:p>
    <w:p>
      <w:pPr>
        <w:spacing w:after="140"/>
      </w:pPr>
      <w:r>
        <w:rPr>
          <w:sz w:val="21"/>
          <w:szCs w:val="21"/>
        </w:rPr>
        <w:t xml:space="preserve">Nicole hat gebeten, das bestehende Review 5 (PMS/Prämenopause/Menopause) von drei weiteren Perspektiven prüfen zu lassen, bevor eine Umfangs-Entscheidung getroffen wird: einem Regulatory-Affairs-Experten (rechtliche Risiken), einem App-Entwickler (technische Machbarkeit, konkret im bestehenden Code) und einer UI-Expertin (wo und wie das in der App auftauchen sollte).</w:t>
      </w:r>
    </w:p>
    <w:p>
      <w:pPr>
        <w:pStyle w:val="Heading1"/>
        <w:spacing w:after="200" w:before="400"/>
      </w:pPr>
      <w:r>
        <w:rPr>
          <w:b/>
          <w:bCs/>
          <w:color w:val="1B2A4A"/>
          <w:sz w:val="30"/>
          <w:szCs w:val="30"/>
        </w:rPr>
        <w:t xml:space="preserve">2. Regulatory-Affairs-Experte</w:t>
      </w:r>
    </w:p>
    <w:p>
      <w:pPr>
        <w:spacing w:after="140"/>
      </w:pPr>
      <w:r>
        <w:rPr>
          <w:sz w:val="21"/>
          <w:szCs w:val="21"/>
        </w:rPr>
        <w:t xml:space="preserve">Die Grundrichtung von Review 5 ist regulatorisch solide (Trennung von EFSA-geprüften Aussagen und traditionellen Perspektiven, "kann"-Sprache, keine Pathologisierung). Zwei Punkte muss die Umsetzung aber schärfer fassen als im ersten Entwurf:</w:t>
      </w:r>
    </w:p>
    <w:p>
      <w:pPr>
        <w:pBdr>
          <w:left w:val="single" w:color="B7472A" w:sz="24"/>
        </w:pBdr>
        <w:shd w:fill="FBEAE4" w:val="clear"/>
        <w:spacing w:after="200" w:before="100"/>
      </w:pPr>
      <w:r>
        <w:rPr>
          <w:b/>
          <w:bCs/>
          <w:color w:val="B7472A"/>
          <w:sz w:val="21"/>
          <w:szCs w:val="21"/>
        </w:rPr>
        <w:t xml:space="preserve">Wichtigster Fund: </w:t>
      </w:r>
      <w:r>
        <w:rPr>
          <w:sz w:val="21"/>
          <w:szCs w:val="21"/>
        </w:rPr>
        <w:t xml:space="preserve">Mönchspfeffer (Vitex agnus-castus) und Traubensilberkerze (Cimicifuga racemosa) sind in Deutschland nicht nur "traditionelle Kräuter", sondern Wirkstoffe zugelassener Arzneimittel (z. B. Agnucaston, Remifemin) mit offizieller Indikation. Das ist ein anderer rechtlicher Status als die Eisen/TCM-Analogie, die für den bestehenden Heilpraktiker-Abschnitt genutzt wird. Werden sie namentlich mit impliziter Wirkung genannt, rutscht das schnell in Richtung Heilmittelwerbegesetz (HWG) – auch ohne Produktnamen, allein durch "wirkt bei..."-Formulierungen zum Wirkstoff.</w:t>
      </w:r>
    </w:p>
    <w:p>
      <w:pPr>
        <w:pStyle w:val="ListParagraph"/>
        <w:numPr>
          <w:ilvl w:val="0"/>
          <w:numId w:val="1"/>
        </w:numPr>
        <w:spacing w:after="80"/>
      </w:pPr>
      <w:r>
        <w:rPr>
          <w:sz w:val="21"/>
          <w:szCs w:val="21"/>
        </w:rPr>
        <w:t xml:space="preserve">Empfehlung: Wirkstoffe nur rein informativ und ohne Wirkversprechen erwähnen ("wird traditionell bei... eingesetzt, ärztliche/apothekerliche Beratung vor Anwendung einholen"), keine Dosierungs- oder Anwendungshinweise, deutlich strengerer Rahmen als der bestehende Heilpraktiker-Abschnitt.</w:t>
      </w:r>
    </w:p>
    <w:p>
      <w:pPr>
        <w:pStyle w:val="ListParagraph"/>
        <w:numPr>
          <w:ilvl w:val="0"/>
          <w:numId w:val="1"/>
        </w:numPr>
        <w:spacing w:after="80"/>
      </w:pPr>
      <w:r>
        <w:rPr>
          <w:sz w:val="21"/>
          <w:szCs w:val="21"/>
        </w:rPr>
        <w:t xml:space="preserve">PMDS: Die App darf zu keinem Zeitpunkt ein Muster als "PMDS" labeln oder einen Score/eine Wahrscheinlichkeit ausgeben – das wäre eine Grenze zur Medizinprodukt-Funktion (MDR). Ein reiner, immer gleich formulierter Hinweistext ("wiederkehrend starke Belastung? ärztliche Abklärung kann helfen") ist unkritisch, ein aus Trackingdaten abgeleiteter "Alarm" nicht.</w:t>
      </w:r>
    </w:p>
    <w:p>
      <w:pPr>
        <w:pStyle w:val="ListParagraph"/>
        <w:numPr>
          <w:ilvl w:val="0"/>
          <w:numId w:val="1"/>
        </w:numPr>
        <w:spacing w:after="80"/>
      </w:pPr>
      <w:r>
        <w:rPr>
          <w:sz w:val="21"/>
          <w:szCs w:val="21"/>
        </w:rPr>
        <w:t xml:space="preserve">"Rote Flaggen" (Zykluslänge, Blutungsstärke): als ruhiger, immer gleicher Hinweistext an der ohnehin schon berechneten Zyklusstatistik unkritisch – sobald daraus eine aktive Warnung/Push-Notification mit Alarmcharakter würde, steigt das MDR-Risiko spürbar. Empfehlung: rein passiv im Screen, keine Benachrichtigung.</w:t>
      </w:r>
    </w:p>
    <w:p>
      <w:pPr>
        <w:pStyle w:val="ListParagraph"/>
        <w:numPr>
          <w:ilvl w:val="0"/>
          <w:numId w:val="1"/>
        </w:numPr>
        <w:spacing w:after="80"/>
      </w:pPr>
      <w:r>
        <w:rPr>
          <w:sz w:val="21"/>
          <w:szCs w:val="21"/>
        </w:rPr>
        <w:t xml:space="preserve">Korrelation Symptome/Nährstoffzufuhr: Muss (wie in Review 5 schon angedeutet) explizit als Beobachtung ohne Kausalitätsanspruch formuliert werden – bei wenigen Zyklen ist das statistisch nicht belastbar. Am sichersten: dieses Feature auf später verschieben statt in Version 1 mitzunehmen (siehe App-Entwickler).</w:t>
      </w:r>
    </w:p>
    <w:p>
      <w:pPr>
        <w:pStyle w:val="Heading1"/>
        <w:spacing w:after="200" w:before="400"/>
      </w:pPr>
      <w:r>
        <w:rPr>
          <w:b/>
          <w:bCs/>
          <w:color w:val="1B2A4A"/>
          <w:sz w:val="30"/>
          <w:szCs w:val="30"/>
        </w:rPr>
        <w:t xml:space="preserve">3. App-Entwickler</w:t>
      </w:r>
    </w:p>
    <w:p>
      <w:pPr>
        <w:spacing w:after="140"/>
      </w:pPr>
      <w:r>
        <w:rPr>
          <w:sz w:val="21"/>
          <w:szCs w:val="21"/>
        </w:rPr>
        <w:t xml:space="preserve">Technisch bestätigt sich die Einschätzung aus Review 5: machbar, ohne die Architektur zu verändern. Beim Code-Blick sind zwei konkrete Punkte hinzugekommen:</w:t>
      </w:r>
    </w:p>
    <w:p>
      <w:pPr>
        <w:pStyle w:val="ListParagraph"/>
        <w:numPr>
          <w:ilvl w:val="0"/>
          <w:numId w:val="1"/>
        </w:numPr>
        <w:spacing w:after="80"/>
      </w:pPr>
      <w:r>
        <w:rPr>
          <w:sz w:val="21"/>
          <w:szCs w:val="21"/>
        </w:rPr>
        <w:t xml:space="preserve">cycleRepo.js berechnet die Zyklusphase (getCurrentPhase()) nur für "heute" (new Date()). Der Monatskalender in cycle.js enthält aber schon eine zweite, fast identische Formel, die die Phase für JEDEN Kalendertag berechnet (für die Einfärbung der Kalenderansicht) – nur eben nicht als wiederverwendbare Funktion, sondern direkt im UI-Code. Für den Symptom-Tracker braucht es "Phase für ein beliebiges Datum in der Vergangenheit" (um einen Symptom-Eintrag der passenden Zyklusphase zuzuordnen) – statt einer dritten Kopie dieser Formel sollte die bestehende Kalender-Logik als domain/cycle.js-Funktion getPhaseForDate() extrahiert und an beiden Stellen (Kalender + neuer Tracker) wiederverwendet werden. Kleiner Nebeneffekt: räumt eine bestehende Code-Dopplung mit auf.</w:t>
      </w:r>
    </w:p>
    <w:p>
      <w:pPr>
        <w:pStyle w:val="ListParagraph"/>
        <w:numPr>
          <w:ilvl w:val="0"/>
          <w:numId w:val="1"/>
        </w:numPr>
        <w:spacing w:after="80"/>
      </w:pPr>
      <w:r>
        <w:rPr>
          <w:sz w:val="21"/>
          <w:szCs w:val="21"/>
        </w:rPr>
        <w:t xml:space="preserve">Neuer Speicher-Baustein: ein cycleSymptomsRepo.js nach demselben Muster wie cravingsRepo.js (Liste von { date, tags: [...], intensity?, note }), Schema-Versionierung wie alle anderen Repos (getVersioned/setVersioned).</w:t>
      </w:r>
    </w:p>
    <w:p>
      <w:pPr>
        <w:pStyle w:val="ListParagraph"/>
        <w:numPr>
          <w:ilvl w:val="0"/>
          <w:numId w:val="1"/>
        </w:numPr>
        <w:spacing w:after="80"/>
      </w:pPr>
      <w:r>
        <w:rPr>
          <w:sz w:val="21"/>
          <w:szCs w:val="21"/>
        </w:rPr>
        <w:t xml:space="preserve">Die von der Wissenschaftlerin vorgeschlagene Korrelation mit dem Ernährungstagebuch ist zusätzlicher Aufwand (Verknüpfung über Datum mit nutritionRepo.getDayTotals) und aus den oben genannten Gründen ohnehin mit Vorsicht zu behandeln – klare Empfehlung, das aus Version 1 rauszulassen und später separat zu bewerten.</w:t>
      </w:r>
    </w:p>
    <w:p>
      <w:pPr>
        <w:pStyle w:val="ListParagraph"/>
        <w:numPr>
          <w:ilvl w:val="0"/>
          <w:numId w:val="1"/>
        </w:numPr>
        <w:spacing w:after="80"/>
      </w:pPr>
      <w:r>
        <w:rPr>
          <w:sz w:val="21"/>
          <w:szCs w:val="21"/>
        </w:rPr>
        <w:t xml:space="preserve">Aufwandseinschätzung: vergleichbar mit dem Heißhunger-Journal + den Tageszeit-Hinweisen aus Block F Phase 2 zusammen – überschaubar, kein neuer nativer Code, rein lokal.</w:t>
      </w:r>
    </w:p>
    <w:p>
      <w:pPr>
        <w:pStyle w:val="Heading1"/>
        <w:spacing w:after="200" w:before="400"/>
      </w:pPr>
      <w:r>
        <w:rPr>
          <w:b/>
          <w:bCs/>
          <w:color w:val="1B2A4A"/>
          <w:sz w:val="30"/>
          <w:szCs w:val="30"/>
        </w:rPr>
        <w:t xml:space="preserve">4. UI-Expertin</w:t>
      </w:r>
    </w:p>
    <w:p>
      <w:pPr>
        <w:spacing w:after="140"/>
      </w:pPr>
      <w:r>
        <w:rPr>
          <w:sz w:val="21"/>
          <w:szCs w:val="21"/>
        </w:rPr>
        <w:t xml:space="preserve">Der bestehende Zykluskalender-Screen ist schon recht dicht (Phasen-Karte, Statistik, Kalendergrid, Nährstoffliste, Eintragsliste) – ein komplett neuer Themenblock sollte dort nicht einfach oben draufgestapelt werden.</w:t>
      </w:r>
    </w:p>
    <w:p>
      <w:pPr>
        <w:pStyle w:val="ListParagraph"/>
        <w:numPr>
          <w:ilvl w:val="0"/>
          <w:numId w:val="1"/>
        </w:numPr>
        <w:spacing w:after="80"/>
      </w:pPr>
      <w:r>
        <w:rPr>
          <w:sz w:val="21"/>
          <w:szCs w:val="21"/>
        </w:rPr>
        <w:t xml:space="preserve">Empfehlung: Symptom-Erfassung als schneller Zugriff direkt am Kalendertag (Tag antippen → Chip-Auswahl der Symptome, wie die Mood-/Trigger-Chips im Heißhunger-Journal), statt als zusätzlicher, separater Screen. Das hält die Erfassung niedrigschwellig und nutzt ein bereits etabliertes, vertrautes Interaktionsmuster.</w:t>
      </w:r>
    </w:p>
    <w:p>
      <w:pPr>
        <w:pStyle w:val="ListParagraph"/>
        <w:numPr>
          <w:ilvl w:val="0"/>
          <w:numId w:val="1"/>
        </w:numPr>
        <w:spacing w:after="80"/>
      </w:pPr>
      <w:r>
        <w:rPr>
          <w:sz w:val="21"/>
          <w:szCs w:val="21"/>
        </w:rPr>
        <w:t xml:space="preserve">Für die reinen Lerninhalte (Menopause-Wissen, traditionelle Perspektiven) eher ein neuer Abschnitt im Stil des bestehenden Hautgesundheit-Screens als eigener Tools-Hub-Eintrag – konsistent mit dem, was Nutzerinnen an Struktur schon kennen.</w:t>
      </w:r>
    </w:p>
    <w:p>
      <w:pPr>
        <w:pBdr>
          <w:left w:val="single" w:color="0F6E6E" w:sz="24"/>
        </w:pBdr>
        <w:shd w:fill="EAF4F3" w:val="clear"/>
        <w:spacing w:after="200" w:before="100"/>
      </w:pPr>
      <w:r>
        <w:rPr>
          <w:b/>
          <w:bCs/>
          <w:color w:val="0F6E6E"/>
          <w:sz w:val="21"/>
          <w:szCs w:val="21"/>
        </w:rPr>
        <w:t xml:space="preserve">Farb-/Tonalität-Hinweis: </w:t>
      </w:r>
      <w:r>
        <w:rPr>
          <w:sz w:val="21"/>
          <w:szCs w:val="21"/>
        </w:rPr>
        <w:t xml:space="preserve">Für "Rote Flaggen"-Hinweise und den PMDS-Hinweistext ausdrücklich NICHT Alarm-Rot verwenden, sondern die bestehende warme Amber-Palette aus dem Traditionelle-Perspektiven-Abschnitt (#FBF3E7 Hintergrund, #C9A876 Rahmen) bzw. die vorhandene #f59e0b-Hinweisfarbe. Deckt sich mit der Empfehlung der Gynäkologin, Perimenopause/Menopause nicht zu pathologisieren – ein roter Alarm-Ton würde dem visuell widersprechen.</w:t>
      </w:r>
    </w:p>
    <w:p>
      <w:pPr>
        <w:pStyle w:val="Heading1"/>
        <w:spacing w:after="200" w:before="400"/>
      </w:pPr>
      <w:r>
        <w:rPr>
          <w:b/>
          <w:bCs/>
          <w:color w:val="1B2A4A"/>
          <w:sz w:val="30"/>
          <w:szCs w:val="30"/>
        </w:rPr>
        <w:t xml:space="preserve">5. Konsequenzen für die offenen Entscheidungen aus Review 5</w:t>
      </w:r>
    </w:p>
    <w:p>
      <w:pPr>
        <w:pStyle w:val="ListParagraph"/>
        <w:numPr>
          <w:ilvl w:val="0"/>
          <w:numId w:val="1"/>
        </w:numPr>
        <w:spacing w:after="80"/>
      </w:pPr>
      <w:r>
        <w:rPr>
          <w:sz w:val="21"/>
          <w:szCs w:val="21"/>
        </w:rPr>
        <w:t xml:space="preserve">Vitex/Cimicifuga: nur generisch und ohne Wirkversprechen erwähnen, nicht als Kern-Content-Baustein – das ändert den Umfang des "Heilpraktiker"-Teils gegenüber dem ersten Entwurf.</w:t>
      </w:r>
    </w:p>
    <w:p>
      <w:pPr>
        <w:pStyle w:val="ListParagraph"/>
        <w:numPr>
          <w:ilvl w:val="0"/>
          <w:numId w:val="1"/>
        </w:numPr>
        <w:spacing w:after="80"/>
      </w:pPr>
      <w:r>
        <w:rPr>
          <w:sz w:val="21"/>
          <w:szCs w:val="21"/>
        </w:rPr>
        <w:t xml:space="preserve">Korrelation zum Ernährungstagebuch: für Version 1 auf "nein" vorentschieden von Regulatory-Affairs und App-Entwickler übereinstimmend – kann später separat wieder aufgegriffen werden.</w:t>
      </w:r>
    </w:p>
    <w:p>
      <w:pPr>
        <w:pStyle w:val="ListParagraph"/>
        <w:numPr>
          <w:ilvl w:val="0"/>
          <w:numId w:val="1"/>
        </w:numPr>
        <w:spacing w:after="80"/>
      </w:pPr>
      <w:r>
        <w:rPr>
          <w:sz w:val="21"/>
          <w:szCs w:val="21"/>
        </w:rPr>
        <w:t xml:space="preserve">PMDS-/Rote-Flaggen-Hinweis: ja, aber als passiver, gleichbleibender Text im Screen, nie als Push-Benachrichtigung oder Score.</w:t>
      </w:r>
    </w:p>
    <w:p>
      <w:pPr>
        <w:pStyle w:val="ListParagraph"/>
        <w:numPr>
          <w:ilvl w:val="0"/>
          <w:numId w:val="1"/>
        </w:numPr>
        <w:spacing w:after="80"/>
      </w:pPr>
      <w:r>
        <w:rPr>
          <w:sz w:val="21"/>
          <w:szCs w:val="21"/>
        </w:rPr>
        <w:t xml:space="preserve">UI-Platzierung: Tracking direkt am Kalendertag statt neuer Screen; Lerninhalte im Stil des Hautgesundheit-Screens.</w:t>
      </w:r>
    </w:p>
    <w:p>
      <w:pPr>
        <w:pBdr>
          <w:top w:val="single" w:color="CCCCCC" w:sz="6"/>
        </w:pBdr>
        <w:spacing w:before="400"/>
      </w:pPr>
      <w:r>
        <w:rPr>
          <w:i/>
          <w:iCs/>
          <w:color w:val="595959"/>
          <w:sz w:val="16"/>
          <w:szCs w:val="16"/>
        </w:rPr>
        <w:t xml:space="preserve">WellANNI – Experten-Review 5 (Ergänzung) · erstellt 25.07.2026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2026-07-25T08:56:57.327Z</dcterms:created>
  <dcterms:modified xsi:type="dcterms:W3CDTF">2026-07-25T08:56:57.328Z</dcterms:modified>
</cp:coreProperties>
</file>

<file path=docProps/custom.xml><?xml version="1.0" encoding="utf-8"?>
<Properties xmlns="http://schemas.openxmlformats.org/officeDocument/2006/custom-properties" xmlns:vt="http://schemas.openxmlformats.org/officeDocument/2006/docPropsVTypes"/>
</file>