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B3A57"/>
          <w:sz w:val="40"/>
          <w:szCs w:val="40"/>
        </w:rPr>
        <w:t xml:space="preserve">WellANNI</w:t>
      </w:r>
    </w:p>
    <w:p>
      <w:pPr>
        <w:spacing w:after="40"/>
        <w:jc w:val="center"/>
      </w:pPr>
      <w:r>
        <w:rPr>
          <w:b/>
          <w:bCs/>
          <w:color w:val="0E7C7B"/>
          <w:sz w:val="30"/>
          <w:szCs w:val="30"/>
        </w:rPr>
        <w:t xml:space="preserve">Experten-Review 6 — Skalierung &amp; Investoren</w:t>
      </w:r>
    </w:p>
    <w:p>
      <w:pPr>
        <w:spacing w:after="300"/>
        <w:jc w:val="center"/>
      </w:pPr>
      <w:r>
        <w:rPr>
          <w:i/>
          <w:iCs/>
          <w:color w:val="6B6B6B"/>
          <w:sz w:val="22"/>
          <w:szCs w:val="22"/>
        </w:rPr>
        <w:t xml:space="preserve">Bewertung durch einen Startup- und Wachstums-Experten</w:t>
      </w:r>
    </w:p>
    <w:p>
      <w:pPr>
        <w:pStyle w:val="Heading1"/>
        <w:pBdr>
          <w:bottom w:val="single" w:color="0E7C7B" w:sz="6" w:space="4"/>
        </w:pBdr>
        <w:spacing w:after="160" w:before="320"/>
      </w:pPr>
      <w:r>
        <w:rPr>
          <w:b/>
          <w:bCs/>
          <w:color w:val="1B3A57"/>
          <w:sz w:val="28"/>
          <w:szCs w:val="28"/>
        </w:rPr>
        <w:t xml:space="preserve">1. Auftrag</w:t>
      </w:r>
    </w:p>
    <w:p>
      <w:pPr>
        <w:spacing w:after="140"/>
      </w:pPr>
      <w:r>
        <w:rPr>
          <w:sz w:val="22"/>
          <w:szCs w:val="22"/>
        </w:rPr>
        <w:t xml:space="preserve">Nicole hat den Gedanken aufgebracht, WellANNI nicht nur über den Play Store zu vertreiben, sondern auch Drogeriemärkte (dm, Rossmann) oder andere Investoren dafür zu interessieren. Auftrag an den Startup-/Wachstums-Experten: die App aus Investorensicht einschätzen, einen realistischen Skalierungsweg vorschlagen und die Drogeriemarkt-Idee einordnen — inklusive der Frage, ob Drogeriemärkte eher als Kapitalgeber oder als Vertriebspartner infrage kommen.</w:t>
      </w:r>
    </w:p>
    <w:p>
      <w:pPr>
        <w:pStyle w:val="Heading1"/>
        <w:pBdr>
          <w:bottom w:val="single" w:color="0E7C7B" w:sz="6" w:space="4"/>
        </w:pBdr>
        <w:spacing w:after="160" w:before="320"/>
      </w:pPr>
      <w:r>
        <w:rPr>
          <w:b/>
          <w:bCs/>
          <w:color w:val="1B3A57"/>
          <w:sz w:val="28"/>
          <w:szCs w:val="28"/>
        </w:rPr>
        <w:t xml:space="preserve">2. Ausgangslage</w:t>
      </w:r>
    </w:p>
    <w:p>
      <w:pPr>
        <w:spacing w:after="140"/>
      </w:pPr>
      <w:r>
        <w:rPr>
          <w:sz w:val="22"/>
          <w:szCs w:val="22"/>
        </w:rPr>
        <w:t xml:space="preserve">Für eine ehrliche Einschätzung zählt der tatsächliche Stand, nicht die Wunschvorstellung:</w:t>
      </w:r>
    </w:p>
    <w:p>
      <w:pPr>
        <w:pStyle w:val="ListParagraph"/>
        <w:numPr>
          <w:ilvl w:val="0"/>
          <w:numId w:val="2"/>
        </w:numPr>
        <w:spacing w:after="80"/>
      </w:pPr>
      <w:r>
        <w:rPr>
          <w:sz w:val="22"/>
          <w:szCs w:val="22"/>
        </w:rPr>
        <w:t xml:space="preserve">Solo-Gründerin, App technisch von Grund auf mit KI-gestützter Entwicklung aufgebaut, noch vor dem ersten öffentlichen Play-Store-Launch.</w:t>
      </w:r>
    </w:p>
    <w:p>
      <w:pPr>
        <w:pStyle w:val="ListParagraph"/>
        <w:numPr>
          <w:ilvl w:val="0"/>
          <w:numId w:val="2"/>
        </w:numPr>
        <w:spacing w:after="80"/>
      </w:pPr>
      <w:r>
        <w:rPr>
          <w:sz w:val="22"/>
          <w:szCs w:val="22"/>
        </w:rPr>
        <w:t xml:space="preserve">Noch keine echten Nutzerzahlen, keine Retention-/Conversion-Daten — alles bisher intern getestet.</w:t>
      </w:r>
    </w:p>
    <w:p>
      <w:pPr>
        <w:pStyle w:val="ListParagraph"/>
        <w:numPr>
          <w:ilvl w:val="0"/>
          <w:numId w:val="2"/>
        </w:numPr>
        <w:spacing w:after="80"/>
      </w:pPr>
      <w:r>
        <w:rPr>
          <w:sz w:val="22"/>
          <w:szCs w:val="22"/>
        </w:rPr>
        <w:t xml:space="preserve">Klares, bewusst eng gehaltenes Produkt-Prinzip: kein Score, keine Diagnose, EFSA-geprüfte Aussagen sauber von traditionellen Perspektiven getrennt — das ist ein echter Pluspunkt für spätere Prüfungen, aber noch kein Beweis am Markt.</w:t>
      </w:r>
    </w:p>
    <w:p>
      <w:pPr>
        <w:pStyle w:val="ListParagraph"/>
        <w:numPr>
          <w:ilvl w:val="0"/>
          <w:numId w:val="2"/>
        </w:numPr>
        <w:spacing w:after="80"/>
      </w:pPr>
      <w:r>
        <w:rPr>
          <w:sz w:val="22"/>
          <w:szCs w:val="22"/>
        </w:rPr>
        <w:t xml:space="preserve">Monetarisierung: Freemium mit Abo (Verlauf &amp; Einordnung), Amazon-Affiliate-Baustein wartet auf Zulassung.</w:t>
      </w:r>
    </w:p>
    <w:p>
      <w:pPr>
        <w:pBdr>
          <w:left w:val="single" w:color="0E7C7B" w:sz="18" w:space="6"/>
        </w:pBdr>
        <w:shd w:fill="EFF6F6" w:val="clear"/>
        <w:spacing w:after="160"/>
        <w:ind w:left="120"/>
      </w:pPr>
      <w:r>
        <w:rPr>
          <w:i/>
          <w:iCs/>
          <w:color w:val="2F2F2F"/>
          <w:sz w:val="20"/>
          <w:szCs w:val="20"/>
        </w:rPr>
        <w:t xml:space="preserve">Aus Investorensicht: eine Idee mit sauberer Produktarchitektur, aber Pre-Traction. Das bestimmt jeden folgenden Rat in diesem Dokument.</w:t>
      </w:r>
    </w:p>
    <w:p>
      <w:pPr>
        <w:pStyle w:val="Heading1"/>
        <w:pBdr>
          <w:bottom w:val="single" w:color="0E7C7B" w:sz="6" w:space="4"/>
        </w:pBdr>
        <w:spacing w:after="160" w:before="320"/>
      </w:pPr>
      <w:r>
        <w:rPr>
          <w:b/>
          <w:bCs/>
          <w:color w:val="1B3A57"/>
          <w:sz w:val="28"/>
          <w:szCs w:val="28"/>
        </w:rPr>
        <w:t xml:space="preserve">3. Einschätzung aus Investorensicht</w:t>
      </w:r>
    </w:p>
    <w:p>
      <w:pPr>
        <w:pStyle w:val="Heading2"/>
        <w:spacing w:after="100" w:before="220"/>
      </w:pPr>
      <w:r>
        <w:rPr>
          <w:b/>
          <w:bCs/>
          <w:color w:val="0E7C7B"/>
          <w:sz w:val="24"/>
          <w:szCs w:val="24"/>
        </w:rPr>
        <w:t xml:space="preserve">Was für WellANNI spricht</w:t>
      </w:r>
    </w:p>
    <w:p>
      <w:pPr>
        <w:pStyle w:val="ListParagraph"/>
        <w:numPr>
          <w:ilvl w:val="0"/>
          <w:numId w:val="2"/>
        </w:numPr>
        <w:spacing w:after="80"/>
      </w:pPr>
      <w:r>
        <w:rPr>
          <w:sz w:val="22"/>
          <w:szCs w:val="22"/>
        </w:rPr>
        <w:t xml:space="preserve">Femtech + Metabolic Health ist ein Markt mit echtem Rückenwind: Investoren wie in der Recherche sichtbar (z. B. Clue, Evela, Femi-ON) zeigen, dass Frauengesundheit 2026 aktiv finanziert wird — allein im März 2026 flossen laut Marktbeobachtung rund 72 Mio. USD in Femtech-Startups weltweit.</w:t>
      </w:r>
    </w:p>
    <w:p>
      <w:pPr>
        <w:pStyle w:val="ListParagraph"/>
        <w:numPr>
          <w:ilvl w:val="0"/>
          <w:numId w:val="2"/>
        </w:numPr>
        <w:spacing w:after="80"/>
      </w:pPr>
      <w:r>
        <w:rPr>
          <w:sz w:val="22"/>
          <w:szCs w:val="22"/>
        </w:rPr>
        <w:t xml:space="preserve">Nischenkombination Zyklus + Mikronährstoffe + PMS/Menopause ist im deutschsprachigen Raum nicht breit besetzt — die meisten Player sind entweder reine Zyklus-Tracker (Clue) oder reine Nährstoff-Apps, selten beides mit dem gleichen Qualitätsanspruch.</w:t>
      </w:r>
    </w:p>
    <w:p>
      <w:pPr>
        <w:pStyle w:val="ListParagraph"/>
        <w:numPr>
          <w:ilvl w:val="0"/>
          <w:numId w:val="2"/>
        </w:numPr>
        <w:spacing w:after="80"/>
      </w:pPr>
      <w:r>
        <w:rPr>
          <w:sz w:val="22"/>
          <w:szCs w:val="22"/>
        </w:rPr>
        <w:t xml:space="preserve">Datensparsamkeit (lokal, kein Cloud-Zwang) ist im Femtech-Kontext ein Vertrauens-Asset, kein Nice-to-have — nach den Datenschutz-Debatten um US-Zyklus-Apps ein reales Differenzierungsmerkmal.</w:t>
      </w:r>
    </w:p>
    <w:p>
      <w:pPr>
        <w:pStyle w:val="Heading2"/>
        <w:spacing w:after="100" w:before="220"/>
      </w:pPr>
      <w:r>
        <w:rPr>
          <w:b/>
          <w:bCs/>
          <w:color w:val="0E7C7B"/>
          <w:sz w:val="24"/>
          <w:szCs w:val="24"/>
        </w:rPr>
        <w:t xml:space="preserve">Was ein Investor zuerst fragen wird</w:t>
      </w:r>
    </w:p>
    <w:p>
      <w:pPr>
        <w:pStyle w:val="ListParagraph"/>
        <w:numPr>
          <w:ilvl w:val="0"/>
          <w:numId w:val="2"/>
        </w:numPr>
        <w:spacing w:after="80"/>
      </w:pPr>
      <w:r>
        <w:rPr>
          <w:sz w:val="22"/>
          <w:szCs w:val="22"/>
        </w:rPr>
        <w:t xml:space="preserve">"Zeig mir Zahlen, nicht das Produkt." Ohne mindestens 3–6 Monate echte Nutzungsdaten (Installs, Retention Tag 7/30, Free-to-Paid-Conversion) ist jedes Gespräch mit institutionellem Kapital verfrüht — das ist branchenüblich, kein WellANNI-spezifisches Problem.</w:t>
      </w:r>
    </w:p>
    <w:p>
      <w:pPr>
        <w:pStyle w:val="ListParagraph"/>
        <w:numPr>
          <w:ilvl w:val="0"/>
          <w:numId w:val="2"/>
        </w:numPr>
        <w:spacing w:after="80"/>
      </w:pPr>
      <w:r>
        <w:rPr>
          <w:sz w:val="22"/>
          <w:szCs w:val="22"/>
        </w:rPr>
        <w:t xml:space="preserve">Ein-Personen-Team ist ein Risikofaktor, den Investoren offen ansprechen (Bus-Faktor, Kapazität für Vertrieb/Support neben Produkt).</w:t>
      </w:r>
    </w:p>
    <w:p>
      <w:pPr>
        <w:pStyle w:val="ListParagraph"/>
        <w:numPr>
          <w:ilvl w:val="0"/>
          <w:numId w:val="2"/>
        </w:numPr>
        <w:spacing w:after="80"/>
      </w:pPr>
      <w:r>
        <w:rPr>
          <w:sz w:val="22"/>
          <w:szCs w:val="22"/>
        </w:rPr>
        <w:t xml:space="preserve">Regulatorische Positionierung muss glasklar kommuniziert sein: "Wellness, kein Medizinprodukt" ist eine Stärke, wird aber von Investoren aktiv hinterfragt, weil sie beide Wege (Wellness vs. DiGA) kennen und wissen wollen, warum bewusst gegen DiGA entschieden wurde (siehe Abschnitt 6).</w:t>
      </w:r>
    </w:p>
    <w:p>
      <w:pPr>
        <w:pStyle w:val="Heading1"/>
        <w:pBdr>
          <w:bottom w:val="single" w:color="0E7C7B" w:sz="6" w:space="4"/>
        </w:pBdr>
        <w:spacing w:after="160" w:before="320"/>
      </w:pPr>
      <w:r>
        <w:rPr>
          <w:b/>
          <w:bCs/>
          <w:color w:val="1B3A57"/>
          <w:sz w:val="28"/>
          <w:szCs w:val="28"/>
        </w:rPr>
        <w:t xml:space="preserve">4. Realistischer Skalierungsweg</w:t>
      </w:r>
    </w:p>
    <w:p>
      <w:pPr>
        <w:spacing w:after="140"/>
      </w:pPr>
      <w:r>
        <w:rPr>
          <w:sz w:val="22"/>
          <w:szCs w:val="22"/>
        </w:rPr>
        <w:t xml:space="preserve">Empfehlung: kein Sprung direkt zu Investoren oder Handelsketten, sondern ein Drei-Phasen-Weg, in dem jede Phase die nächste erst glaubwürdig macht.</w:t>
      </w:r>
    </w:p>
    <w:p>
      <w:pPr>
        <w:pStyle w:val="Heading2"/>
        <w:spacing w:after="100" w:before="220"/>
      </w:pPr>
      <w:r>
        <w:rPr>
          <w:b/>
          <w:bCs/>
          <w:color w:val="0E7C7B"/>
          <w:sz w:val="24"/>
          <w:szCs w:val="24"/>
        </w:rPr>
        <w:t xml:space="preserve">Phase 1 — Play-Store-Launch &amp; echte Traction (jetzt – ca. 6 Monate)</w:t>
      </w:r>
    </w:p>
    <w:p>
      <w:pPr>
        <w:pStyle w:val="ListParagraph"/>
        <w:numPr>
          <w:ilvl w:val="0"/>
          <w:numId w:val="2"/>
        </w:numPr>
        <w:spacing w:after="80"/>
      </w:pPr>
      <w:r>
        <w:rPr>
          <w:sz w:val="22"/>
          <w:szCs w:val="22"/>
        </w:rPr>
        <w:t xml:space="preserve">Launch abschließen, dann 3–6 Monate reale Nutzungsdaten sammeln: Installs, Aktivierung, Tag-7/30-Retention, Free-to-Premium-Conversion, App-Store-Bewertungen.</w:t>
      </w:r>
    </w:p>
    <w:p>
      <w:pPr>
        <w:pStyle w:val="ListParagraph"/>
        <w:numPr>
          <w:ilvl w:val="0"/>
          <w:numId w:val="2"/>
        </w:numPr>
        <w:spacing w:after="80"/>
      </w:pPr>
      <w:r>
        <w:rPr>
          <w:sz w:val="22"/>
          <w:szCs w:val="22"/>
        </w:rPr>
        <w:t xml:space="preserve">Bewertungen/Reviews im Play Store sind hier doppelt wichtig: Sie sind Marketing UND das erste harte Signal für spätere Investoren- oder Partnergespräche.</w:t>
      </w:r>
    </w:p>
    <w:p>
      <w:pPr>
        <w:pStyle w:val="ListParagraph"/>
        <w:numPr>
          <w:ilvl w:val="0"/>
          <w:numId w:val="2"/>
        </w:numPr>
        <w:spacing w:after="80"/>
      </w:pPr>
      <w:r>
        <w:rPr>
          <w:sz w:val="22"/>
          <w:szCs w:val="22"/>
        </w:rPr>
        <w:t xml:space="preserve">In dieser Phase kein Kapital von außen nötig — Bootstrapping oder ein öffentliches Gründerstipendium reicht, siehe Abschnitt 7.</w:t>
      </w:r>
    </w:p>
    <w:p>
      <w:pPr>
        <w:pStyle w:val="Heading2"/>
        <w:spacing w:after="100" w:before="220"/>
      </w:pPr>
      <w:r>
        <w:rPr>
          <w:b/>
          <w:bCs/>
          <w:color w:val="0E7C7B"/>
          <w:sz w:val="24"/>
          <w:szCs w:val="24"/>
        </w:rPr>
        <w:t xml:space="preserve">Phase 2 — B2B2C-Partnerschaften vor Kapital (ca. Monat 6–18)</w:t>
      </w:r>
    </w:p>
    <w:p>
      <w:pPr>
        <w:pStyle w:val="ListParagraph"/>
        <w:numPr>
          <w:ilvl w:val="0"/>
          <w:numId w:val="2"/>
        </w:numPr>
        <w:spacing w:after="80"/>
      </w:pPr>
      <w:r>
        <w:rPr>
          <w:sz w:val="22"/>
          <w:szCs w:val="22"/>
        </w:rPr>
        <w:t xml:space="preserve">Sobald Traction belastbar ist: Partnerschaften statt (oder vor) Investoren suchen. B2B2C-Modelle performen im regulierten Gesundheitsmarkt oft besser als reines B2C, weil die Vertrauens-Infrastruktur beim Partner schon existiert (Krankenkassen, Arbeitgeber, Apotheken/Drogerien als Vertriebskanal).</w:t>
      </w:r>
    </w:p>
    <w:p>
      <w:pPr>
        <w:pStyle w:val="ListParagraph"/>
        <w:numPr>
          <w:ilvl w:val="0"/>
          <w:numId w:val="2"/>
        </w:numPr>
        <w:spacing w:after="80"/>
      </w:pPr>
      <w:r>
        <w:rPr>
          <w:sz w:val="22"/>
          <w:szCs w:val="22"/>
        </w:rPr>
        <w:t xml:space="preserve">Konkrete Kanäle für WellANNI: betriebliches Gesundheitsmanagement (Employer-Wellness-Pakete), Kooperation mit Ernährungsberaterinnen/Heilpraktikerinnen als Multiplikatorinnen, ggf. Krankenkassen-Zusatzangebote (freiwillig, nicht DiGA-Erstattung).</w:t>
      </w:r>
    </w:p>
    <w:p>
      <w:pPr>
        <w:pStyle w:val="ListParagraph"/>
        <w:numPr>
          <w:ilvl w:val="0"/>
          <w:numId w:val="2"/>
        </w:numPr>
        <w:spacing w:after="80"/>
      </w:pPr>
      <w:r>
        <w:rPr>
          <w:sz w:val="22"/>
          <w:szCs w:val="22"/>
        </w:rPr>
        <w:t xml:space="preserve">Genau hier gehört die Drogeriemarkt-Idee hin — als Vertriebs- und Sichtbarkeits-Partnerschaft, nicht als Kapitalquelle (siehe Abschnitt 5).</w:t>
      </w:r>
    </w:p>
    <w:p>
      <w:pPr>
        <w:pStyle w:val="Heading2"/>
        <w:spacing w:after="100" w:before="220"/>
      </w:pPr>
      <w:r>
        <w:rPr>
          <w:b/>
          <w:bCs/>
          <w:color w:val="0E7C7B"/>
          <w:sz w:val="24"/>
          <w:szCs w:val="24"/>
        </w:rPr>
        <w:t xml:space="preserve">Phase 3 — gezielte Investorenansprache (ab belastbarer Traction)</w:t>
      </w:r>
    </w:p>
    <w:p>
      <w:pPr>
        <w:pStyle w:val="ListParagraph"/>
        <w:numPr>
          <w:ilvl w:val="0"/>
          <w:numId w:val="2"/>
        </w:numPr>
        <w:spacing w:after="80"/>
      </w:pPr>
      <w:r>
        <w:rPr>
          <w:sz w:val="22"/>
          <w:szCs w:val="22"/>
        </w:rPr>
        <w:t xml:space="preserve">Erst wenn Phase 1+2 echte Zahlen liefern: gezielt Femtech-/Health-VCs ansprechen, nicht breit streuen. Die Recherche zeigt aktive Femtech-Investoren-Listen mit Ticketgrößen von ca. 500.000 $ bis 15 Mio. $ je nach Stage — für WellANNI realistisch wäre ein Pre-Seed/Seed-Gespräch, kein Series-A-Ticket.</w:t>
      </w:r>
    </w:p>
    <w:p>
      <w:pPr>
        <w:pStyle w:val="ListParagraph"/>
        <w:numPr>
          <w:ilvl w:val="0"/>
          <w:numId w:val="2"/>
        </w:numPr>
        <w:spacing w:after="80"/>
      </w:pPr>
      <w:r>
        <w:rPr>
          <w:sz w:val="22"/>
          <w:szCs w:val="22"/>
        </w:rPr>
        <w:t xml:space="preserve">Pitch Deck erst bauen, wenn die KPI aus Phase 1 vorliegen — ein Deck ohne Zahlen ist in diesem Markt kaum differenzierend.</w:t>
      </w:r>
    </w:p>
    <w:p>
      <w:pPr>
        <w:pStyle w:val="Heading1"/>
        <w:pBdr>
          <w:bottom w:val="single" w:color="0E7C7B" w:sz="6" w:space="4"/>
        </w:pBdr>
        <w:spacing w:after="160" w:before="320"/>
      </w:pPr>
      <w:r>
        <w:rPr>
          <w:b/>
          <w:bCs/>
          <w:color w:val="1B3A57"/>
          <w:sz w:val="28"/>
          <w:szCs w:val="28"/>
        </w:rPr>
        <w:t xml:space="preserve">5. Drogeriemärkte (dm/Rossmann): Vertriebspartner, nicht Investor</w:t>
      </w:r>
    </w:p>
    <w:p>
      <w:pPr>
        <w:spacing w:after="140"/>
      </w:pPr>
      <w:r>
        <w:rPr>
          <w:sz w:val="22"/>
          <w:szCs w:val="22"/>
        </w:rPr>
        <w:t xml:space="preserve">Die Recherche bestätigt: dm und Rossmann sind 2026 beide aktiv im Digital-Health-Bereich unterwegs, aber als Plattformbetreiber, nicht als klassische Wagniskapitalgeber.</w:t>
      </w:r>
    </w:p>
    <w:p>
      <w:pPr>
        <w:pStyle w:val="ListParagraph"/>
        <w:numPr>
          <w:ilvl w:val="0"/>
          <w:numId w:val="2"/>
        </w:numPr>
        <w:spacing w:after="80"/>
      </w:pPr>
      <w:r>
        <w:rPr>
          <w:sz w:val="22"/>
          <w:szCs w:val="22"/>
        </w:rPr>
        <w:t xml:space="preserve">Rossmann kündigt für Ende 2026 eine eigene Online-Apotheke an, eingebettet in die Rossmann-App mit über 12 Mio. aktiven Nutzern — der Fokus liegt auf Kooperationen für den Marktstart, nicht auf Beteiligungen an Drittanbietern.</w:t>
      </w:r>
    </w:p>
    <w:p>
      <w:pPr>
        <w:pStyle w:val="ListParagraph"/>
        <w:numPr>
          <w:ilvl w:val="0"/>
          <w:numId w:val="2"/>
        </w:numPr>
        <w:spacing w:after="80"/>
      </w:pPr>
      <w:r>
        <w:rPr>
          <w:sz w:val="22"/>
          <w:szCs w:val="22"/>
        </w:rPr>
        <w:t xml:space="preserve">Damit verschiebt sich der Wettbewerb zwischen dm und Rossmann zunehmend vom Regal aufs Smartphone — beide bauen eigene Ökosysteme, in die WellANNI sich eher als Content-/Kooperationspartner (z. B. verlinkte Empfehlungen, Co-Branding, Aufnahme in eine Partner-App-Liste) einfügen könnte als durch eine Kapitalbeteiligung.</w:t>
      </w:r>
    </w:p>
    <w:p>
      <w:pPr>
        <w:pStyle w:val="ListParagraph"/>
        <w:numPr>
          <w:ilvl w:val="0"/>
          <w:numId w:val="2"/>
        </w:numPr>
        <w:spacing w:after="80"/>
      </w:pPr>
      <w:r>
        <w:rPr>
          <w:sz w:val="22"/>
          <w:szCs w:val="22"/>
        </w:rPr>
        <w:t xml:space="preserve">Realistischer erster Schritt wäre ein Kooperationsgespräch (Marketing/Category-Management), kein Investoren-Pitch — und auch das erst mit vorzeigbaren Nutzerzahlen aus Phase 1.</w:t>
      </w:r>
    </w:p>
    <w:p>
      <w:pPr>
        <w:pBdr>
          <w:left w:val="single" w:color="0E7C7B" w:sz="18" w:space="6"/>
        </w:pBdr>
        <w:shd w:fill="EFF6F6" w:val="clear"/>
        <w:spacing w:after="160"/>
        <w:ind w:left="120"/>
      </w:pPr>
      <w:r>
        <w:rPr>
          <w:i/>
          <w:iCs/>
          <w:color w:val="2F2F2F"/>
          <w:sz w:val="20"/>
          <w:szCs w:val="20"/>
        </w:rPr>
        <w:t xml:space="preserve">Kurzfassung: dm/Rossmann als Absatzkanal und Sichtbarkeits-Hebel einordnen, nicht als Finanzierungsquelle. Für echtes Kapital sind spezialisierte Femtech-Investoren oder Business Angels die richtige Adresse.</w:t>
      </w:r>
    </w:p>
    <w:p>
      <w:pPr>
        <w:pStyle w:val="Heading1"/>
        <w:pBdr>
          <w:bottom w:val="single" w:color="0E7C7B" w:sz="6" w:space="4"/>
        </w:pBdr>
        <w:spacing w:after="160" w:before="320"/>
      </w:pPr>
      <w:r>
        <w:rPr>
          <w:b/>
          <w:bCs/>
          <w:color w:val="1B3A57"/>
          <w:sz w:val="28"/>
          <w:szCs w:val="28"/>
        </w:rPr>
        <w:t xml:space="preserve">6. Die DiGA-Frage: bewusst nicht anstreben</w:t>
      </w:r>
    </w:p>
    <w:p>
      <w:pPr>
        <w:spacing w:after="140"/>
      </w:pPr>
      <w:r>
        <w:rPr>
          <w:sz w:val="22"/>
          <w:szCs w:val="22"/>
        </w:rPr>
        <w:t xml:space="preserve">Ein naheliegender Gedanke wäre, WellANNI als Digitale Gesundheitsanwendung (DiGA) listen zu lassen, um über die Krankenkassen erstattet zu werden — das würde aber der bisherigen Produktentscheidung direkt widersprechen und ist hier ausdrücklich nicht empfohlen.</w:t>
      </w:r>
    </w:p>
    <w:p>
      <w:pPr>
        <w:pStyle w:val="ListParagraph"/>
        <w:numPr>
          <w:ilvl w:val="0"/>
          <w:numId w:val="2"/>
        </w:numPr>
        <w:spacing w:after="80"/>
      </w:pPr>
      <w:r>
        <w:rPr>
          <w:sz w:val="22"/>
          <w:szCs w:val="22"/>
        </w:rPr>
        <w:t xml:space="preserve">Eine DiGA muss ein CE-zertifiziertes Medizinprodukt (Risikoklasse I, IIa oder IIb) sein und den positiven Versorgungseffekt durch eine vergleichende Studie nachweisen — das ist ein mehrjähriger, kostenintensiver Prozess, unvereinbar mit dem bewusst gewählten "kein Score, keine Diagnose"-Prinzip der App.</w:t>
      </w:r>
    </w:p>
    <w:p>
      <w:pPr>
        <w:pStyle w:val="ListParagraph"/>
        <w:numPr>
          <w:ilvl w:val="0"/>
          <w:numId w:val="2"/>
        </w:numPr>
        <w:spacing w:after="80"/>
      </w:pPr>
      <w:r>
        <w:rPr>
          <w:sz w:val="22"/>
          <w:szCs w:val="22"/>
        </w:rPr>
        <w:t xml:space="preserve">Wellness-Apps unterliegen ausdrücklich nicht dem BfArM-Prüfverfahren und den medizinprodukterechtlichen Anforderungen — genau dieser Status ist aktuell WellANNIs Geschwindigkeits- und Kostenvorteil.</w:t>
      </w:r>
    </w:p>
    <w:p>
      <w:pPr>
        <w:pStyle w:val="ListParagraph"/>
        <w:numPr>
          <w:ilvl w:val="0"/>
          <w:numId w:val="2"/>
        </w:numPr>
        <w:spacing w:after="80"/>
      </w:pPr>
      <w:r>
        <w:rPr>
          <w:sz w:val="22"/>
          <w:szCs w:val="22"/>
        </w:rPr>
        <w:t xml:space="preserve">Empfehlung: die MDR-Grenze weiter aktiv verteidigen (wie in den bisherigen Reviews schon mehrfach festgehalten) und den DiGA-Weg bewusst nicht verfolgen, solange das Produktprinzip "nur tracken, nicht bewerten" gilt.</w:t>
      </w:r>
    </w:p>
    <w:p>
      <w:pPr>
        <w:pStyle w:val="Heading1"/>
        <w:pBdr>
          <w:bottom w:val="single" w:color="0E7C7B" w:sz="6" w:space="4"/>
        </w:pBdr>
        <w:spacing w:after="160" w:before="320"/>
      </w:pPr>
      <w:r>
        <w:rPr>
          <w:b/>
          <w:bCs/>
          <w:color w:val="1B3A57"/>
          <w:sz w:val="28"/>
          <w:szCs w:val="28"/>
        </w:rPr>
        <w:t xml:space="preserve">7. Finanzierungsoptionen vor dem ersten VC-Gespräch</w:t>
      </w:r>
    </w:p>
    <w:p>
      <w:pPr>
        <w:pStyle w:val="ListParagraph"/>
        <w:numPr>
          <w:ilvl w:val="0"/>
          <w:numId w:val="2"/>
        </w:numPr>
        <w:spacing w:after="80"/>
      </w:pPr>
      <w:r>
        <w:rPr>
          <w:sz w:val="22"/>
          <w:szCs w:val="22"/>
        </w:rPr>
        <w:t xml:space="preserve">Bootstrapping: für Phase 1 ausreichend, da die App bereits weitgehend fertig ist — Hauptkosten sind Store-Gebühren, ggf. rechtliche Prüfung, keine große Entwicklungslücke mehr.</w:t>
      </w:r>
    </w:p>
    <w:p>
      <w:pPr>
        <w:pStyle w:val="ListParagraph"/>
        <w:numPr>
          <w:ilvl w:val="0"/>
          <w:numId w:val="2"/>
        </w:numPr>
        <w:spacing w:after="80"/>
      </w:pPr>
      <w:r>
        <w:rPr>
          <w:sz w:val="22"/>
          <w:szCs w:val="22"/>
        </w:rPr>
        <w:t xml:space="preserve">EXIST-Gründungsstipendium / EXIST-Women: öffentliche Förderung für Gründerinnen (bis 3.000 €/Monat plus Sachmittel), niedrigschwelliger Einstieg speziell für Solo-Gründerinnen — lohnt sich zu prüfen, sofern eine Anbindung an Hochschule/Forschungseinrichtung möglich ist (Antrag läuft über die Institution, nicht direkt).</w:t>
      </w:r>
    </w:p>
    <w:p>
      <w:pPr>
        <w:pStyle w:val="ListParagraph"/>
        <w:numPr>
          <w:ilvl w:val="0"/>
          <w:numId w:val="2"/>
        </w:numPr>
        <w:spacing w:after="80"/>
      </w:pPr>
      <w:r>
        <w:rPr>
          <w:sz w:val="22"/>
          <w:szCs w:val="22"/>
        </w:rPr>
        <w:t xml:space="preserve">Business Angels aus dem Gesundheits-/Femtech-Umfeld: oft realistischer erster externer Kapitalgeber als ein VC-Fonds, gerade vor belastbaren KPI.</w:t>
      </w:r>
    </w:p>
    <w:p>
      <w:pPr>
        <w:pStyle w:val="ListParagraph"/>
        <w:numPr>
          <w:ilvl w:val="0"/>
          <w:numId w:val="2"/>
        </w:numPr>
        <w:spacing w:after="80"/>
      </w:pPr>
      <w:r>
        <w:rPr>
          <w:sz w:val="22"/>
          <w:szCs w:val="22"/>
        </w:rPr>
        <w:t xml:space="preserve">Institutionelle Femtech-VCs erst in Phase 3 ansprechen, siehe Abschnitt 4.</w:t>
      </w:r>
    </w:p>
    <w:p>
      <w:pPr>
        <w:pStyle w:val="Heading1"/>
        <w:pBdr>
          <w:bottom w:val="single" w:color="0E7C7B" w:sz="6" w:space="4"/>
        </w:pBdr>
        <w:spacing w:after="160" w:before="320"/>
      </w:pPr>
      <w:r>
        <w:rPr>
          <w:b/>
          <w:bCs/>
          <w:color w:val="1B3A57"/>
          <w:sz w:val="28"/>
          <w:szCs w:val="28"/>
        </w:rPr>
        <w:t xml:space="preserve">8. Was Investoren konkret sehen wollen (Checkliste)</w:t>
      </w:r>
    </w:p>
    <w:p>
      <w:pPr>
        <w:pStyle w:val="ListParagraph"/>
        <w:numPr>
          <w:ilvl w:val="0"/>
          <w:numId w:val="2"/>
        </w:numPr>
        <w:spacing w:after="80"/>
      </w:pPr>
      <w:r>
        <w:rPr>
          <w:sz w:val="22"/>
          <w:szCs w:val="22"/>
        </w:rPr>
        <w:t xml:space="preserve">Installs, Aktivierungsrate, Tag-7- und Tag-30-Retention</w:t>
      </w:r>
    </w:p>
    <w:p>
      <w:pPr>
        <w:pStyle w:val="ListParagraph"/>
        <w:numPr>
          <w:ilvl w:val="0"/>
          <w:numId w:val="2"/>
        </w:numPr>
        <w:spacing w:after="80"/>
      </w:pPr>
      <w:r>
        <w:rPr>
          <w:sz w:val="22"/>
          <w:szCs w:val="22"/>
        </w:rPr>
        <w:t xml:space="preserve">Free-to-Premium-Conversion-Rate und durchschnittlicher Umsatz pro zahlendem Nutzer</w:t>
      </w:r>
    </w:p>
    <w:p>
      <w:pPr>
        <w:pStyle w:val="ListParagraph"/>
        <w:numPr>
          <w:ilvl w:val="0"/>
          <w:numId w:val="2"/>
        </w:numPr>
        <w:spacing w:after="80"/>
      </w:pPr>
      <w:r>
        <w:rPr>
          <w:sz w:val="22"/>
          <w:szCs w:val="22"/>
        </w:rPr>
        <w:t xml:space="preserve">Play-Store-Bewertung (Anzahl + Durchschnitt) als Vertrauenssignal</w:t>
      </w:r>
    </w:p>
    <w:p>
      <w:pPr>
        <w:pStyle w:val="ListParagraph"/>
        <w:numPr>
          <w:ilvl w:val="0"/>
          <w:numId w:val="2"/>
        </w:numPr>
        <w:spacing w:after="80"/>
      </w:pPr>
      <w:r>
        <w:rPr>
          <w:sz w:val="22"/>
          <w:szCs w:val="22"/>
        </w:rPr>
        <w:t xml:space="preserve">Klare, einfache Erklärung der regulatorischen Positionierung (Wellness, kein Medizinprodukt) in einem Satz</w:t>
      </w:r>
    </w:p>
    <w:p>
      <w:pPr>
        <w:pStyle w:val="ListParagraph"/>
        <w:numPr>
          <w:ilvl w:val="0"/>
          <w:numId w:val="2"/>
        </w:numPr>
        <w:spacing w:after="80"/>
      </w:pPr>
      <w:r>
        <w:rPr>
          <w:sz w:val="22"/>
          <w:szCs w:val="22"/>
        </w:rPr>
        <w:t xml:space="preserve">Ein Team-Slide, der ehrlich zeigt, wer im Fall von Wachstum welche Rolle übernimmt (auch als Solo-Gründerin: geplante erste Einstellung/Freelancer-Unterstützung)</w:t>
      </w:r>
    </w:p>
    <w:p>
      <w:pPr>
        <w:pStyle w:val="Heading1"/>
        <w:pBdr>
          <w:bottom w:val="single" w:color="0E7C7B" w:sz="6" w:space="4"/>
        </w:pBdr>
        <w:spacing w:after="160" w:before="320"/>
      </w:pPr>
      <w:r>
        <w:rPr>
          <w:b/>
          <w:bCs/>
          <w:color w:val="1B3A57"/>
          <w:sz w:val="28"/>
          <w:szCs w:val="28"/>
        </w:rPr>
        <w:t xml:space="preserve">9. Konkrete nächste Schritte</w:t>
      </w:r>
    </w:p>
    <w:p>
      <w:pPr>
        <w:pStyle w:val="ListParagraph"/>
        <w:numPr>
          <w:ilvl w:val="0"/>
          <w:numId w:val="2"/>
        </w:numPr>
        <w:spacing w:after="80"/>
      </w:pPr>
      <w:r>
        <w:rPr>
          <w:sz w:val="22"/>
          <w:szCs w:val="22"/>
        </w:rPr>
        <w:t xml:space="preserve">1) Play-Store-Launch abschließen (siehe offene Punkte aus dem laufenden Projekt: Store-Texte, Screenshots, Tester).</w:t>
      </w:r>
    </w:p>
    <w:p>
      <w:pPr>
        <w:pStyle w:val="ListParagraph"/>
        <w:numPr>
          <w:ilvl w:val="0"/>
          <w:numId w:val="2"/>
        </w:numPr>
        <w:spacing w:after="80"/>
      </w:pPr>
      <w:r>
        <w:rPr>
          <w:sz w:val="22"/>
          <w:szCs w:val="22"/>
        </w:rPr>
        <w:t xml:space="preserve">2) 3–6 Monate echte Nutzungsdaten sammeln, bevor irgendein externes Gespräch (Investor oder Handelskette) gesucht wird.</w:t>
      </w:r>
    </w:p>
    <w:p>
      <w:pPr>
        <w:pStyle w:val="ListParagraph"/>
        <w:numPr>
          <w:ilvl w:val="0"/>
          <w:numId w:val="2"/>
        </w:numPr>
        <w:spacing w:after="80"/>
      </w:pPr>
      <w:r>
        <w:rPr>
          <w:sz w:val="22"/>
          <w:szCs w:val="22"/>
        </w:rPr>
        <w:t xml:space="preserve">3) In der Zwischenzeit: EXIST-Women unverbindlich prüfen, falls eine Hochschul-/Forschungsanbindung besteht.</w:t>
      </w:r>
    </w:p>
    <w:p>
      <w:pPr>
        <w:pStyle w:val="ListParagraph"/>
        <w:numPr>
          <w:ilvl w:val="0"/>
          <w:numId w:val="2"/>
        </w:numPr>
        <w:spacing w:after="80"/>
      </w:pPr>
      <w:r>
        <w:rPr>
          <w:sz w:val="22"/>
          <w:szCs w:val="22"/>
        </w:rPr>
        <w:t xml:space="preserve">4) Nach Phase 1: ein bis zwei Kooperationsgespräche mit Drogerieketten als Vertriebspartner anstoßen — kleine, realistische erste Anfrage statt Investoren-Pitch.</w:t>
      </w:r>
    </w:p>
    <w:p>
      <w:pPr>
        <w:pStyle w:val="ListParagraph"/>
        <w:numPr>
          <w:ilvl w:val="0"/>
          <w:numId w:val="2"/>
        </w:numPr>
        <w:spacing w:after="80"/>
      </w:pPr>
      <w:r>
        <w:rPr>
          <w:sz w:val="22"/>
          <w:szCs w:val="22"/>
        </w:rPr>
        <w:t xml:space="preserve">5) Erst mit belastbaren KPI: Pitch Deck bauen und gezielt 5–10 passende Femtech-Business-Angels/-VCs ansprechen, keine Massen-Ansprache.</w:t>
      </w:r>
    </w:p>
    <w:p>
      <w:pPr>
        <w:pStyle w:val="Heading1"/>
        <w:pBdr>
          <w:bottom w:val="single" w:color="0E7C7B" w:sz="6" w:space="4"/>
        </w:pBdr>
        <w:spacing w:after="160" w:before="320"/>
      </w:pPr>
      <w:r>
        <w:rPr>
          <w:b/>
          <w:bCs/>
          <w:color w:val="1B3A57"/>
          <w:sz w:val="28"/>
          <w:szCs w:val="28"/>
        </w:rPr>
        <w:t xml:space="preserve">10. Offene Entscheidungen für Nicole</w:t>
      </w:r>
    </w:p>
    <w:p>
      <w:pPr>
        <w:pStyle w:val="ListParagraph"/>
        <w:numPr>
          <w:ilvl w:val="0"/>
          <w:numId w:val="2"/>
        </w:numPr>
        <w:spacing w:after="80"/>
      </w:pPr>
      <w:r>
        <w:rPr>
          <w:sz w:val="22"/>
          <w:szCs w:val="22"/>
        </w:rPr>
        <w:t xml:space="preserve">Soll parallel zum App-Betrieb Zeit für eine EXIST-Women-Antragstellung investiert werden, oder zunächst rein bootstrapped weiterlaufen?</w:t>
      </w:r>
    </w:p>
    <w:p>
      <w:pPr>
        <w:pStyle w:val="ListParagraph"/>
        <w:numPr>
          <w:ilvl w:val="0"/>
          <w:numId w:val="2"/>
        </w:numPr>
        <w:spacing w:after="80"/>
      </w:pPr>
      <w:r>
        <w:rPr>
          <w:sz w:val="22"/>
          <w:szCs w:val="22"/>
        </w:rPr>
        <w:t xml:space="preserve">Ab welcher Nutzerzahl/Bewertung im Play Store fühlt sich ein erstes Kooperationsgespräch mit einer Drogeriekette "vorzeigbar" an — soll dafür eine konkrete Schwelle festgelegt werden?</w:t>
      </w:r>
    </w:p>
    <w:p>
      <w:pPr>
        <w:pStyle w:val="ListParagraph"/>
        <w:numPr>
          <w:ilvl w:val="0"/>
          <w:numId w:val="2"/>
        </w:numPr>
        <w:spacing w:after="80"/>
      </w:pPr>
      <w:r>
        <w:rPr>
          <w:sz w:val="22"/>
          <w:szCs w:val="22"/>
        </w:rPr>
        <w:t xml:space="preserve">Soll die DiGA-Frage endgültig vom Tisch sein, oder als "vielleicht in 2–3 Jahren, wenn das Produkt sich verändert" offengehalten werden?</w:t>
      </w:r>
    </w:p>
    <w:p>
      <w:pPr>
        <w:pStyle w:val="Heading1"/>
        <w:pBdr>
          <w:bottom w:val="single" w:color="0E7C7B" w:sz="6" w:space="4"/>
        </w:pBdr>
        <w:spacing w:after="160" w:before="320"/>
      </w:pPr>
      <w:r>
        <w:rPr>
          <w:b/>
          <w:bCs/>
          <w:color w:val="1B3A57"/>
          <w:sz w:val="28"/>
          <w:szCs w:val="28"/>
        </w:rPr>
        <w:t xml:space="preserve">Quellen (Recherche-Grundlage)</w:t>
      </w:r>
    </w:p>
    <w:p>
      <w:pPr>
        <w:spacing w:after="140"/>
      </w:pPr>
      <w:r>
        <w:rPr>
          <w:color w:val="6B6B6B"/>
          <w:sz w:val="18"/>
          <w:szCs w:val="18"/>
        </w:rPr>
        <w:t xml:space="preserve">Femtech-Funding-Landschaft 2026 (Clue, Evela, Femi-ON, Marktvolumen): New Market Pitch, Ellty Femtech Investors 2026, betahaus Femtech Startups 2026, StartingUp Femi-ON.</w:t>
      </w:r>
    </w:p>
    <w:p>
      <w:pPr>
        <w:spacing w:after="140"/>
      </w:pPr>
      <w:r>
        <w:rPr>
          <w:color w:val="6B6B6B"/>
          <w:sz w:val="18"/>
          <w:szCs w:val="18"/>
        </w:rPr>
        <w:t xml:space="preserve">B2B2C-Modelle im Digital-Health-Markt: wewillcure.com (B2C Revenue Models for Healthcare Startups), retail-insider.com (Q2 2026 Health &amp; Beauty Report).</w:t>
      </w:r>
    </w:p>
    <w:p>
      <w:pPr>
        <w:spacing w:after="140"/>
      </w:pPr>
      <w:r>
        <w:rPr>
          <w:color w:val="6B6B6B"/>
          <w:sz w:val="18"/>
          <w:szCs w:val="18"/>
        </w:rPr>
        <w:t xml:space="preserve">Rossmann-Apotheke Ende 2026: unternehmen.rossmann.de Pressemeldung, ad-hoc-news.de, retail-news.de.</w:t>
      </w:r>
    </w:p>
    <w:p>
      <w:pPr>
        <w:spacing w:after="140"/>
      </w:pPr>
      <w:r>
        <w:rPr>
          <w:color w:val="6B6B6B"/>
          <w:sz w:val="18"/>
          <w:szCs w:val="18"/>
        </w:rPr>
        <w:t xml:space="preserve">EXIST-Gründungsstipendium/EXIST-Women: exist.de, gruenderplattform.de, hike-startups.de.</w:t>
      </w:r>
    </w:p>
    <w:p>
      <w:pPr>
        <w:spacing w:after="140"/>
      </w:pPr>
      <w:r>
        <w:rPr>
          <w:color w:val="6B6B6B"/>
          <w:sz w:val="18"/>
          <w:szCs w:val="18"/>
        </w:rPr>
        <w:t xml:space="preserve">DiGA-Abgrenzung: BfArM DiGA-Verzeichnis, bornholdtlee.de (Gesundheits-App: Definition und Abgrenzung zu DiGA).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2026-07-25T10:09:24.827Z</dcterms:created>
  <dcterms:modified xsi:type="dcterms:W3CDTF">2026-07-25T10:09:24.828Z</dcterms:modified>
</cp:coreProperties>
</file>

<file path=docProps/custom.xml><?xml version="1.0" encoding="utf-8"?>
<Properties xmlns="http://schemas.openxmlformats.org/officeDocument/2006/custom-properties" xmlns:vt="http://schemas.openxmlformats.org/officeDocument/2006/docPropsVTypes"/>
</file>