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Introducción al ramo, aspectos generales.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discuten de manera presencial aspectos generales del ramo, se establecen grupos de trabajo.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et0iRz8bi8Kr77ahsEle4tY0w==">CgMxLjA4AHIhMWxIbm5FTlBmQWd4RVFHQUVDa0d4SzE1WHdqM09idGlV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