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Sovereign Source AI</w:t>
      </w:r>
    </w:p>
    <w:p>
      <w:pPr>
        <w:pStyle w:val="Subtitle"/>
      </w:pPr>
      <w:r>
        <w:t>Frontier laboratory and language model project specification</w:t>
      </w:r>
    </w:p>
    <w:p>
      <w:r>
        <w:t>Project sovsrc.llm  •  Version 0.1  •  10 October 2026</w:t>
      </w:r>
    </w:p>
    <w:p>
      <w:pPr>
        <w:pStyle w:val="Heading2"/>
      </w:pPr>
      <w:r>
        <w:t>Purpose and recommended direction</w:t>
      </w:r>
    </w:p>
    <w:p>
      <w:r>
        <w:t>Build a frontier AI laboratory whose models use documented data permissions, preserve attribution and share commercial revenue with the people and organizations contributing useful intellectual work. Develop an auditable rights and payment system alongside the model, then scale capability only after both systems pass independent review.</w:t>
      </w:r>
    </w:p>
    <w:p>
      <w:r>
        <w:t>This specification defines the product, laboratory, training program, contributor economy, sovereign deployment controls and release gates. It is a proposed design for founders, researchers, engineers, creators, legal counsel and capital partners. It does not represent an existing trained model, signed licensing program, funded laboratory or government endorsement.</w:t>
      </w:r>
    </w:p>
    <w:p>
      <w:pPr>
        <w:pStyle w:val="Heading2"/>
      </w:pPr>
      <w:r>
        <w:t>Core commitments</w:t>
      </w:r>
    </w:p>
    <w:p>
      <w:pPr>
        <w:pStyle w:val="ListBullet"/>
      </w:pPr>
      <w:r>
        <w:t>Respect rights before use. Every admitted dataset, model dependency and licensed asset must have a recorded basis for each permitted use. Public availability alone is insufficient under this project’s admission policy.</w:t>
      </w:r>
    </w:p>
    <w:p>
      <w:pPr>
        <w:pStyle w:val="ListBullet"/>
      </w:pPr>
      <w:r>
        <w:t>Pay for accepted value. Compensate licensed intellectual property through negotiated agreements and compensate accepted ideas, suggestions and prompts through separate contribution contracts.</w:t>
      </w:r>
    </w:p>
    <w:p>
      <w:pPr>
        <w:pStyle w:val="ListBullet"/>
      </w:pPr>
      <w:r>
        <w:t>Attribute honestly. Distinguish verified sources, recorded reuse, training participation and estimated influence. Never invent an origin or claim perfect tracing of model knowledge.</w:t>
      </w:r>
    </w:p>
    <w:p>
      <w:pPr>
        <w:pStyle w:val="ListBullet"/>
      </w:pPr>
      <w:r>
        <w:t>Give contributors control. Keep routine conversations private by default; offer explicit choices for publication, evaluation, retrieval, training and paid reuse.</w:t>
      </w:r>
    </w:p>
    <w:p>
      <w:pPr>
        <w:pStyle w:val="ListBullet"/>
      </w:pPr>
      <w:r>
        <w:t>Make sovereignty operational. Specify who controls data, weights, encryption keys, updates, deployment regions and audit access for each installation.</w:t>
      </w:r>
    </w:p>
    <w:p>
      <w:pPr>
        <w:pStyle w:val="Heading2"/>
      </w:pPr>
      <w:r>
        <w:t>Scope and assumptions</w:t>
      </w:r>
    </w:p>
    <w:p>
      <w:r>
        <w:t>Start with a United States legal baseline, English text and code, commercial research and enterprise knowledge work. Add languages, jurisdictions and media only after separate rights and evaluation gates. A U.S. operating company and a contributor oversight body are proposed; their exact legal forms remain open.</w:t>
      </w:r>
    </w:p>
    <w:p>
      <w:r>
        <w:t>The first product is a licensed research assistant with source receipts and a functioning payment ledger. The longer term product is an independently trained foundation model that competes with leading models on a published evaluation suite. “Frontier” is an evidence based release claim, not a parameter count or a promised date.</w:t>
      </w:r>
    </w:p>
    <w:p>
      <w:r>
        <w:t>In this document, MUST identifies a launch requirement; SHOULD identifies a recommended default. All percentages, timelines, thresholds and resource estimates are proposed planning assumptions unless attributed to a source.</w:t>
      </w:r>
    </w:p>
    <w:p>
      <w:pPr>
        <w:pStyle w:val="Heading1"/>
        <w:pageBreakBefore/>
      </w:pPr>
      <w:r>
        <w:t>1 Rights and permissions</w:t>
      </w:r>
    </w:p>
    <w:p>
      <w:r>
        <w:t xml:space="preserve">The system MUST distinguish legal rights from the laboratory’s voluntary compensation commitments. U.S. copyright excludes ideas and methods themselves, although their qualifying expression may be protected. Copyright can arise without registration. A registry entry or timestamp establishes a record, not conclusive ownership. </w:t>
      </w:r>
      <w:hyperlink r:id="rId11">
        <w:r>
          <w:rPr>
            <w:color w:val="174A73"/>
            <w:u w:val="single"/>
          </w:rPr>
          <w:t>[S1]</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488"/>
      </w:tblGrid>
      <w:tr>
        <w:trPr>
          <w:cantSplit/>
          <w:tblHeader/>
        </w:trPr>
        <w:tc>
          <w:tcPr>
            <w:tcW w:type="dxa" w:w="2448"/>
            <w:vAlign w:val="center"/>
            <w:tcMar>
              <w:top w:w="90" w:type="dxa"/>
              <w:left w:w="90" w:type="dxa"/>
              <w:bottom w:w="90" w:type="dxa"/>
              <w:right w:w="90" w:type="dxa"/>
            </w:tcMar>
            <w:shd w:fill="1F3A4D"/>
          </w:tcPr>
          <w:p>
            <w:pPr>
              <w:spacing w:after="40" w:line="245" w:lineRule="auto"/>
            </w:pPr>
            <w:r>
              <w:rPr>
                <w:b/>
                <w:color w:val="FFFFFF"/>
                <w:sz w:val="19"/>
              </w:rPr>
              <w:t>Contribution</w:t>
            </w:r>
          </w:p>
        </w:tc>
        <w:tc>
          <w:tcPr>
            <w:tcW w:type="dxa" w:w="7488"/>
            <w:vAlign w:val="center"/>
            <w:tcMar>
              <w:top w:w="90" w:type="dxa"/>
              <w:left w:w="90" w:type="dxa"/>
              <w:bottom w:w="90" w:type="dxa"/>
              <w:right w:w="90" w:type="dxa"/>
            </w:tcMar>
            <w:shd w:fill="1F3A4D"/>
          </w:tcPr>
          <w:p>
            <w:pPr>
              <w:spacing w:after="40" w:line="245" w:lineRule="auto"/>
            </w:pPr>
            <w:r>
              <w:rPr>
                <w:b/>
                <w:color w:val="FFFFFF"/>
                <w:sz w:val="19"/>
              </w:rPr>
              <w:t>Required treatment</w:t>
            </w:r>
          </w:p>
        </w:tc>
      </w:tr>
      <w:tr>
        <w:trPr>
          <w:cantSplit/>
        </w:trPr>
        <w:tc>
          <w:tcPr>
            <w:tcW w:type="dxa" w:w="2448"/>
            <w:vAlign w:val="center"/>
            <w:tcMar>
              <w:top w:w="90" w:type="dxa"/>
              <w:left w:w="90" w:type="dxa"/>
              <w:bottom w:w="90" w:type="dxa"/>
              <w:right w:w="90" w:type="dxa"/>
            </w:tcMar>
            <w:shd w:fill="FFFFFF"/>
          </w:tcPr>
          <w:p>
            <w:pPr>
              <w:spacing w:after="40" w:line="245" w:lineRule="auto"/>
            </w:pPr>
            <w:r>
              <w:rPr>
                <w:sz w:val="19"/>
              </w:rPr>
              <w:t>Copyrighted works and code</w:t>
            </w:r>
          </w:p>
        </w:tc>
        <w:tc>
          <w:tcPr>
            <w:tcW w:type="dxa" w:w="7488"/>
            <w:vAlign w:val="center"/>
            <w:tcMar>
              <w:top w:w="90" w:type="dxa"/>
              <w:left w:w="90" w:type="dxa"/>
              <w:bottom w:w="90" w:type="dxa"/>
              <w:right w:w="90" w:type="dxa"/>
            </w:tcMar>
            <w:shd w:fill="FFFFFF"/>
          </w:tcPr>
          <w:p>
            <w:pPr>
              <w:spacing w:after="40" w:line="245" w:lineRule="auto"/>
            </w:pPr>
            <w:r>
              <w:rPr>
                <w:sz w:val="19"/>
              </w:rPr>
              <w:t>Verify the licensor and chain of rights. Record rights for copying, preprocessing, training, retrieval, quotation and distribution separately. Preserve required notices and license conditions.</w:t>
            </w:r>
          </w:p>
        </w:tc>
      </w:tr>
      <w:tr>
        <w:trPr>
          <w:cantSplit/>
        </w:trPr>
        <w:tc>
          <w:tcPr>
            <w:tcW w:type="dxa" w:w="2448"/>
            <w:vAlign w:val="center"/>
            <w:tcMar>
              <w:top w:w="90" w:type="dxa"/>
              <w:left w:w="90" w:type="dxa"/>
              <w:bottom w:w="90" w:type="dxa"/>
              <w:right w:w="90" w:type="dxa"/>
            </w:tcMar>
            <w:shd w:fill="F1F4F6"/>
          </w:tcPr>
          <w:p>
            <w:pPr>
              <w:spacing w:after="40" w:line="245" w:lineRule="auto"/>
            </w:pPr>
            <w:r>
              <w:rPr>
                <w:sz w:val="19"/>
              </w:rPr>
              <w:t>Patents and inventions</w:t>
            </w:r>
          </w:p>
        </w:tc>
        <w:tc>
          <w:tcPr>
            <w:tcW w:type="dxa" w:w="7488"/>
            <w:vAlign w:val="center"/>
            <w:tcMar>
              <w:top w:w="90" w:type="dxa"/>
              <w:left w:w="90" w:type="dxa"/>
              <w:bottom w:w="90" w:type="dxa"/>
              <w:right w:w="90" w:type="dxa"/>
            </w:tcMar>
            <w:shd w:fill="F1F4F6"/>
          </w:tcPr>
          <w:p>
            <w:pPr>
              <w:spacing w:after="40" w:line="245" w:lineRule="auto"/>
            </w:pPr>
            <w:r>
              <w:rPr>
                <w:sz w:val="19"/>
              </w:rPr>
              <w:t>Record patent identifiers, status, territory and licensed implementation scope where relevant. Permission to read a patent document does not establish permission to practice its claims.</w:t>
            </w:r>
          </w:p>
        </w:tc>
      </w:tr>
      <w:tr>
        <w:trPr>
          <w:cantSplit/>
        </w:trPr>
        <w:tc>
          <w:tcPr>
            <w:tcW w:type="dxa" w:w="2448"/>
            <w:vAlign w:val="center"/>
            <w:tcMar>
              <w:top w:w="90" w:type="dxa"/>
              <w:left w:w="90" w:type="dxa"/>
              <w:bottom w:w="90" w:type="dxa"/>
              <w:right w:w="90" w:type="dxa"/>
            </w:tcMar>
            <w:shd w:fill="FFFFFF"/>
          </w:tcPr>
          <w:p>
            <w:pPr>
              <w:spacing w:after="40" w:line="245" w:lineRule="auto"/>
            </w:pPr>
            <w:r>
              <w:rPr>
                <w:sz w:val="19"/>
              </w:rPr>
              <w:t>Trademarks and confidential know how</w:t>
            </w:r>
          </w:p>
        </w:tc>
        <w:tc>
          <w:tcPr>
            <w:tcW w:type="dxa" w:w="7488"/>
            <w:vAlign w:val="center"/>
            <w:tcMar>
              <w:top w:w="90" w:type="dxa"/>
              <w:left w:w="90" w:type="dxa"/>
              <w:bottom w:w="90" w:type="dxa"/>
              <w:right w:w="90" w:type="dxa"/>
            </w:tcMar>
            <w:shd w:fill="FFFFFF"/>
          </w:tcPr>
          <w:p>
            <w:pPr>
              <w:spacing w:after="40" w:line="245" w:lineRule="auto"/>
            </w:pPr>
            <w:r>
              <w:rPr>
                <w:sz w:val="19"/>
              </w:rPr>
              <w:t>Separate brand permissions from content licenses. Do not imply endorsement. Keep trade secrets in approved confidential environments with restricted recipients and uses.</w:t>
            </w:r>
          </w:p>
        </w:tc>
      </w:tr>
      <w:tr>
        <w:trPr>
          <w:cantSplit/>
        </w:trPr>
        <w:tc>
          <w:tcPr>
            <w:tcW w:type="dxa" w:w="2448"/>
            <w:vAlign w:val="center"/>
            <w:tcMar>
              <w:top w:w="90" w:type="dxa"/>
              <w:left w:w="90" w:type="dxa"/>
              <w:bottom w:w="90" w:type="dxa"/>
              <w:right w:w="90" w:type="dxa"/>
            </w:tcMar>
            <w:shd w:fill="F1F4F6"/>
          </w:tcPr>
          <w:p>
            <w:pPr>
              <w:spacing w:after="40" w:line="245" w:lineRule="auto"/>
            </w:pPr>
            <w:r>
              <w:rPr>
                <w:sz w:val="19"/>
              </w:rPr>
              <w:t>Ideas and suggestions</w:t>
            </w:r>
          </w:p>
        </w:tc>
        <w:tc>
          <w:tcPr>
            <w:tcW w:type="dxa" w:w="7488"/>
            <w:vAlign w:val="center"/>
            <w:tcMar>
              <w:top w:w="90" w:type="dxa"/>
              <w:left w:w="90" w:type="dxa"/>
              <w:bottom w:w="90" w:type="dxa"/>
              <w:right w:w="90" w:type="dxa"/>
            </w:tcMar>
            <w:shd w:fill="F1F4F6"/>
          </w:tcPr>
          <w:p>
            <w:pPr>
              <w:spacing w:after="40" w:line="245" w:lineRule="auto"/>
            </w:pPr>
            <w:r>
              <w:rPr>
                <w:sz w:val="19"/>
              </w:rPr>
              <w:t>Use an accepted contribution agreement defining the implementation, evidence of adoption, compensation term and attribution. Do not assert ownership of an abstract idea against everyone else.</w:t>
            </w:r>
          </w:p>
        </w:tc>
      </w:tr>
      <w:tr>
        <w:trPr>
          <w:cantSplit/>
        </w:trPr>
        <w:tc>
          <w:tcPr>
            <w:tcW w:type="dxa" w:w="2448"/>
            <w:vAlign w:val="center"/>
            <w:tcMar>
              <w:top w:w="90" w:type="dxa"/>
              <w:left w:w="90" w:type="dxa"/>
              <w:bottom w:w="90" w:type="dxa"/>
              <w:right w:w="90" w:type="dxa"/>
            </w:tcMar>
            <w:shd w:fill="FFFFFF"/>
          </w:tcPr>
          <w:p>
            <w:pPr>
              <w:spacing w:after="40" w:line="245" w:lineRule="auto"/>
            </w:pPr>
            <w:r>
              <w:rPr>
                <w:sz w:val="19"/>
              </w:rPr>
              <w:t>Prompts and workflows</w:t>
            </w:r>
          </w:p>
        </w:tc>
        <w:tc>
          <w:tcPr>
            <w:tcW w:type="dxa" w:w="7488"/>
            <w:vAlign w:val="center"/>
            <w:tcMar>
              <w:top w:w="90" w:type="dxa"/>
              <w:left w:w="90" w:type="dxa"/>
              <w:bottom w:w="90" w:type="dxa"/>
              <w:right w:w="90" w:type="dxa"/>
            </w:tcMar>
            <w:shd w:fill="FFFFFF"/>
          </w:tcPr>
          <w:p>
            <w:pPr>
              <w:spacing w:after="40" w:line="245" w:lineRule="auto"/>
            </w:pPr>
            <w:r>
              <w:rPr>
                <w:sz w:val="19"/>
              </w:rPr>
              <w:t>Assess the submitted expression and third party components separately. Pay for licensed template reuse or measured adoption; a prompt submission does not automatically confer ownership of generated output.</w:t>
            </w:r>
          </w:p>
        </w:tc>
      </w:tr>
      <w:tr>
        <w:trPr>
          <w:cantSplit/>
        </w:trPr>
        <w:tc>
          <w:tcPr>
            <w:tcW w:type="dxa" w:w="2448"/>
            <w:vAlign w:val="center"/>
            <w:tcMar>
              <w:top w:w="90" w:type="dxa"/>
              <w:left w:w="90" w:type="dxa"/>
              <w:bottom w:w="90" w:type="dxa"/>
              <w:right w:w="90" w:type="dxa"/>
            </w:tcMar>
            <w:shd w:fill="F1F4F6"/>
          </w:tcPr>
          <w:p>
            <w:pPr>
              <w:spacing w:after="40" w:line="245" w:lineRule="auto"/>
            </w:pPr>
            <w:r>
              <w:rPr>
                <w:sz w:val="19"/>
              </w:rPr>
              <w:t>Public domain and openly licensed works</w:t>
            </w:r>
          </w:p>
        </w:tc>
        <w:tc>
          <w:tcPr>
            <w:tcW w:type="dxa" w:w="7488"/>
            <w:vAlign w:val="center"/>
            <w:tcMar>
              <w:top w:w="90" w:type="dxa"/>
              <w:left w:w="90" w:type="dxa"/>
              <w:bottom w:w="90" w:type="dxa"/>
              <w:right w:w="90" w:type="dxa"/>
            </w:tcMar>
            <w:shd w:fill="F1F4F6"/>
          </w:tcPr>
          <w:p>
            <w:pPr>
              <w:spacing w:after="40" w:line="245" w:lineRule="auto"/>
            </w:pPr>
            <w:r>
              <w:rPr>
                <w:sz w:val="19"/>
              </w:rPr>
              <w:t>Document status and jurisdiction. Respect license terms; distinguish public domain material from copyrighted open licensed material. Optional curation payments do not privatize the underlying commons.</w:t>
            </w:r>
          </w:p>
        </w:tc>
      </w:tr>
    </w:tbl>
    <w:p/>
    <w:p>
      <w:r>
        <w:t xml:space="preserve">Patents, trademarks, copyright and trade secrets protect different interests and require different review. This taxonomy is a routing policy, not a determination that every submitted asset qualifies for protection. </w:t>
      </w:r>
      <w:hyperlink r:id="rId12">
        <w:r>
          <w:rPr>
            <w:color w:val="174A73"/>
            <w:u w:val="single"/>
          </w:rPr>
          <w:t>[S3]</w:t>
        </w:r>
      </w:hyperlink>
    </w:p>
    <w:p>
      <w:r>
        <w:t xml:space="preserve">AI generated output does not acquire copyright through prompting alone. The Copyright Office distinguishes sufficient human authorship from prompting; the product must explain output rights subject to that distinction and to third party rights. </w:t>
      </w:r>
      <w:hyperlink r:id="rId13">
        <w:r>
          <w:rPr>
            <w:color w:val="174A73"/>
            <w:u w:val="single"/>
          </w:rPr>
          <w:t>[S2]</w:t>
        </w:r>
      </w:hyperlink>
    </w:p>
    <w:p>
      <w:pPr>
        <w:pStyle w:val="Heading2"/>
      </w:pPr>
      <w:r>
        <w:t>Consent and contract requirements</w:t>
      </w:r>
    </w:p>
    <w:p>
      <w:r>
        <w:t>RIGHTS 01 — Use separate affirmative grants for evaluation, training, retrieval, public attribution, sublicensing and weight distribution. An upload grants only the limited processing needed to serve the uploader unless they choose additional uses. Agreements MUST specify territory, duration, permitted transformations, confidential handling, rates, payment priority, termination and any survival of trained model use.</w:t>
      </w:r>
    </w:p>
    <w:p>
      <w:r>
        <w:t>RIGHTS 02 — Keep customer data out of shared training by default. A paid submission requires a clear acceptance record before production adoption. Rights reviewers MUST quarantine disputed, expired, prohibited or unverifiable assets. An opt out flag cannot substitute for permission under this project’s licensing policy.</w:t>
      </w:r>
    </w:p>
    <w:p>
      <w:r>
        <w:t>RIGHTS 03 — Treat attribution, permission and payment as separate obligations. Payment does not cure missing rights, and credit does not authorize reproduction. Any reliance on a legal exception must be separately documented by counsel; the default training procurement policy is licensed, owned or verified public domain material.</w:t>
      </w:r>
    </w:p>
    <w:p>
      <w:pPr>
        <w:pStyle w:val="Heading1"/>
        <w:pageBreakBefore/>
      </w:pPr>
      <w:r>
        <w:t>2 Ideas suggestions and prompts</w:t>
      </w:r>
    </w:p>
    <w:p>
      <w:pPr>
        <w:pStyle w:val="Heading2"/>
      </w:pPr>
      <w:r>
        <w:t>Contributor journey</w:t>
      </w:r>
    </w:p>
    <w:p>
      <w:r>
        <w:t>CONTRIB 01 — Provide a free registration route, a private evidence vault and a plain language agreement. Contributors may use a public pseudonym while supplying payment identity confidentially. Do not require publication of an invention or trade secret to establish an internal submission date.</w:t>
      </w:r>
    </w:p>
    <w:p>
      <w:r>
        <w:t>Each submission receives an identifier, version, timestamp, cryptographic digest, contributor record, origin statement, coauthor information and permission scope. The record includes a description of the proposed use and supporting material such as drafts, repositories, experiments or employment rights clearance. A timestamp records receipt; it does not prove originality or priority over the world.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136"/>
      </w:tblGrid>
      <w:tr>
        <w:trPr>
          <w:cantSplit/>
          <w:tblHeader/>
        </w:trPr>
        <w:tc>
          <w:tcPr>
            <w:tcW w:type="dxa" w:w="1800"/>
            <w:vAlign w:val="center"/>
            <w:tcMar>
              <w:top w:w="90" w:type="dxa"/>
              <w:left w:w="90" w:type="dxa"/>
              <w:bottom w:w="90" w:type="dxa"/>
              <w:right w:w="90" w:type="dxa"/>
            </w:tcMar>
            <w:shd w:fill="1F3A4D"/>
          </w:tcPr>
          <w:p>
            <w:pPr>
              <w:spacing w:after="40" w:line="245" w:lineRule="auto"/>
            </w:pPr>
            <w:r>
              <w:rPr>
                <w:b/>
                <w:color w:val="FFFFFF"/>
                <w:sz w:val="19"/>
              </w:rPr>
              <w:t>State</w:t>
            </w:r>
          </w:p>
        </w:tc>
        <w:tc>
          <w:tcPr>
            <w:tcW w:type="dxa" w:w="8136"/>
            <w:vAlign w:val="center"/>
            <w:tcMar>
              <w:top w:w="90" w:type="dxa"/>
              <w:left w:w="90" w:type="dxa"/>
              <w:bottom w:w="90" w:type="dxa"/>
              <w:right w:w="90" w:type="dxa"/>
            </w:tcMar>
            <w:shd w:fill="1F3A4D"/>
          </w:tcPr>
          <w:p>
            <w:pPr>
              <w:spacing w:after="40" w:line="245" w:lineRule="auto"/>
            </w:pPr>
            <w:r>
              <w:rPr>
                <w:b/>
                <w:color w:val="FFFFFF"/>
                <w:sz w:val="19"/>
              </w:rPr>
              <w:t>Meaning and next action</w:t>
            </w:r>
          </w:p>
        </w:tc>
      </w:tr>
      <w:tr>
        <w:trPr>
          <w:cantSplit/>
        </w:trPr>
        <w:tc>
          <w:tcPr>
            <w:tcW w:type="dxa" w:w="1800"/>
            <w:vAlign w:val="center"/>
            <w:tcMar>
              <w:top w:w="90" w:type="dxa"/>
              <w:left w:w="90" w:type="dxa"/>
              <w:bottom w:w="90" w:type="dxa"/>
              <w:right w:w="90" w:type="dxa"/>
            </w:tcMar>
            <w:shd w:fill="FFFFFF"/>
          </w:tcPr>
          <w:p>
            <w:pPr>
              <w:spacing w:after="40" w:line="245" w:lineRule="auto"/>
            </w:pPr>
            <w:r>
              <w:rPr>
                <w:sz w:val="19"/>
              </w:rPr>
              <w:t>Submitted</w:t>
            </w:r>
          </w:p>
        </w:tc>
        <w:tc>
          <w:tcPr>
            <w:tcW w:type="dxa" w:w="8136"/>
            <w:vAlign w:val="center"/>
            <w:tcMar>
              <w:top w:w="90" w:type="dxa"/>
              <w:left w:w="90" w:type="dxa"/>
              <w:bottom w:w="90" w:type="dxa"/>
              <w:right w:w="90" w:type="dxa"/>
            </w:tcMar>
            <w:shd w:fill="FFFFFF"/>
          </w:tcPr>
          <w:p>
            <w:pPr>
              <w:spacing w:after="40" w:line="245" w:lineRule="auto"/>
            </w:pPr>
            <w:r>
              <w:rPr>
                <w:sz w:val="19"/>
              </w:rPr>
              <w:t>Private receipt issued. Evaluation permission is narrow; production use is prohibited.</w:t>
            </w:r>
          </w:p>
        </w:tc>
      </w:tr>
      <w:tr>
        <w:trPr>
          <w:cantSplit/>
        </w:trPr>
        <w:tc>
          <w:tcPr>
            <w:tcW w:type="dxa" w:w="1800"/>
            <w:vAlign w:val="center"/>
            <w:tcMar>
              <w:top w:w="90" w:type="dxa"/>
              <w:left w:w="90" w:type="dxa"/>
              <w:bottom w:w="90" w:type="dxa"/>
              <w:right w:w="90" w:type="dxa"/>
            </w:tcMar>
            <w:shd w:fill="F1F4F6"/>
          </w:tcPr>
          <w:p>
            <w:pPr>
              <w:spacing w:after="40" w:line="245" w:lineRule="auto"/>
            </w:pPr>
            <w:r>
              <w:rPr>
                <w:sz w:val="19"/>
              </w:rPr>
              <w:t>Under review</w:t>
            </w:r>
          </w:p>
        </w:tc>
        <w:tc>
          <w:tcPr>
            <w:tcW w:type="dxa" w:w="8136"/>
            <w:vAlign w:val="center"/>
            <w:tcMar>
              <w:top w:w="90" w:type="dxa"/>
              <w:left w:w="90" w:type="dxa"/>
              <w:bottom w:w="90" w:type="dxa"/>
              <w:right w:w="90" w:type="dxa"/>
            </w:tcMar>
            <w:shd w:fill="F1F4F6"/>
          </w:tcPr>
          <w:p>
            <w:pPr>
              <w:spacing w:after="40" w:line="245" w:lineRule="auto"/>
            </w:pPr>
            <w:r>
              <w:rPr>
                <w:sz w:val="19"/>
              </w:rPr>
              <w:t>Check third party rights, duplicates, prior art where relevant, usefulness, confidentiality and reproducibility.</w:t>
            </w:r>
          </w:p>
        </w:tc>
      </w:tr>
      <w:tr>
        <w:trPr>
          <w:cantSplit/>
        </w:trPr>
        <w:tc>
          <w:tcPr>
            <w:tcW w:type="dxa" w:w="1800"/>
            <w:vAlign w:val="center"/>
            <w:tcMar>
              <w:top w:w="90" w:type="dxa"/>
              <w:left w:w="90" w:type="dxa"/>
              <w:bottom w:w="90" w:type="dxa"/>
              <w:right w:w="90" w:type="dxa"/>
            </w:tcMar>
            <w:shd w:fill="FFFFFF"/>
          </w:tcPr>
          <w:p>
            <w:pPr>
              <w:spacing w:after="40" w:line="245" w:lineRule="auto"/>
            </w:pPr>
            <w:r>
              <w:rPr>
                <w:sz w:val="19"/>
              </w:rPr>
              <w:t>Accepted</w:t>
            </w:r>
          </w:p>
        </w:tc>
        <w:tc>
          <w:tcPr>
            <w:tcW w:type="dxa" w:w="8136"/>
            <w:vAlign w:val="center"/>
            <w:tcMar>
              <w:top w:w="90" w:type="dxa"/>
              <w:left w:w="90" w:type="dxa"/>
              <w:bottom w:w="90" w:type="dxa"/>
              <w:right w:w="90" w:type="dxa"/>
            </w:tcMar>
            <w:shd w:fill="FFFFFF"/>
          </w:tcPr>
          <w:p>
            <w:pPr>
              <w:spacing w:after="40" w:line="245" w:lineRule="auto"/>
            </w:pPr>
            <w:r>
              <w:rPr>
                <w:sz w:val="19"/>
              </w:rPr>
              <w:t>Both parties approve scope, attribution, royalty schedule, duration, benefit sharing and coauthor splits.</w:t>
            </w:r>
          </w:p>
        </w:tc>
      </w:tr>
      <w:tr>
        <w:trPr>
          <w:cantSplit/>
        </w:trPr>
        <w:tc>
          <w:tcPr>
            <w:tcW w:type="dxa" w:w="1800"/>
            <w:vAlign w:val="center"/>
            <w:tcMar>
              <w:top w:w="90" w:type="dxa"/>
              <w:left w:w="90" w:type="dxa"/>
              <w:bottom w:w="90" w:type="dxa"/>
              <w:right w:w="90" w:type="dxa"/>
            </w:tcMar>
            <w:shd w:fill="F1F4F6"/>
          </w:tcPr>
          <w:p>
            <w:pPr>
              <w:spacing w:after="40" w:line="245" w:lineRule="auto"/>
            </w:pPr>
            <w:r>
              <w:rPr>
                <w:sz w:val="19"/>
              </w:rPr>
              <w:t>Adopted</w:t>
            </w:r>
          </w:p>
        </w:tc>
        <w:tc>
          <w:tcPr>
            <w:tcW w:type="dxa" w:w="8136"/>
            <w:vAlign w:val="center"/>
            <w:tcMar>
              <w:top w:w="90" w:type="dxa"/>
              <w:left w:w="90" w:type="dxa"/>
              <w:bottom w:w="90" w:type="dxa"/>
              <w:right w:w="90" w:type="dxa"/>
            </w:tcMar>
            <w:shd w:fill="F1F4F6"/>
          </w:tcPr>
          <w:p>
            <w:pPr>
              <w:spacing w:after="40" w:line="245" w:lineRule="auto"/>
            </w:pPr>
            <w:r>
              <w:rPr>
                <w:sz w:val="19"/>
              </w:rPr>
              <w:t>Link the contribution to a dataset manifest, deployed template or implementation change and an evaluation record.</w:t>
            </w:r>
          </w:p>
        </w:tc>
      </w:tr>
      <w:tr>
        <w:trPr>
          <w:cantSplit/>
        </w:trPr>
        <w:tc>
          <w:tcPr>
            <w:tcW w:type="dxa" w:w="1800"/>
            <w:vAlign w:val="center"/>
            <w:tcMar>
              <w:top w:w="90" w:type="dxa"/>
              <w:left w:w="90" w:type="dxa"/>
              <w:bottom w:w="90" w:type="dxa"/>
              <w:right w:w="90" w:type="dxa"/>
            </w:tcMar>
            <w:shd w:fill="FFFFFF"/>
          </w:tcPr>
          <w:p>
            <w:pPr>
              <w:spacing w:after="40" w:line="245" w:lineRule="auto"/>
            </w:pPr>
            <w:r>
              <w:rPr>
                <w:sz w:val="19"/>
              </w:rPr>
              <w:t>Earning</w:t>
            </w:r>
          </w:p>
        </w:tc>
        <w:tc>
          <w:tcPr>
            <w:tcW w:type="dxa" w:w="8136"/>
            <w:vAlign w:val="center"/>
            <w:tcMar>
              <w:top w:w="90" w:type="dxa"/>
              <w:left w:w="90" w:type="dxa"/>
              <w:bottom w:w="90" w:type="dxa"/>
              <w:right w:w="90" w:type="dxa"/>
            </w:tcMar>
            <w:shd w:fill="FFFFFF"/>
          </w:tcPr>
          <w:p>
            <w:pPr>
              <w:spacing w:after="40" w:line="245" w:lineRule="auto"/>
            </w:pPr>
            <w:r>
              <w:rPr>
                <w:sz w:val="19"/>
              </w:rPr>
              <w:t>Collect contract eligible events or periodic adoption scores; show statements and appeal options.</w:t>
            </w:r>
          </w:p>
        </w:tc>
      </w:tr>
      <w:tr>
        <w:trPr>
          <w:cantSplit/>
        </w:trPr>
        <w:tc>
          <w:tcPr>
            <w:tcW w:type="dxa" w:w="1800"/>
            <w:vAlign w:val="center"/>
            <w:tcMar>
              <w:top w:w="90" w:type="dxa"/>
              <w:left w:w="90" w:type="dxa"/>
              <w:bottom w:w="90" w:type="dxa"/>
              <w:right w:w="90" w:type="dxa"/>
            </w:tcMar>
            <w:shd w:fill="F1F4F6"/>
          </w:tcPr>
          <w:p>
            <w:pPr>
              <w:spacing w:after="40" w:line="245" w:lineRule="auto"/>
            </w:pPr>
            <w:r>
              <w:rPr>
                <w:sz w:val="19"/>
              </w:rPr>
              <w:t>Disputed or retired</w:t>
            </w:r>
          </w:p>
        </w:tc>
        <w:tc>
          <w:tcPr>
            <w:tcW w:type="dxa" w:w="8136"/>
            <w:vAlign w:val="center"/>
            <w:tcMar>
              <w:top w:w="90" w:type="dxa"/>
              <w:left w:w="90" w:type="dxa"/>
              <w:bottom w:w="90" w:type="dxa"/>
              <w:right w:w="90" w:type="dxa"/>
            </w:tcMar>
            <w:shd w:fill="F1F4F6"/>
          </w:tcPr>
          <w:p>
            <w:pPr>
              <w:spacing w:after="40" w:line="245" w:lineRule="auto"/>
            </w:pPr>
            <w:r>
              <w:rPr>
                <w:sz w:val="19"/>
              </w:rPr>
              <w:t>Hold only contested payments; stop affected new uses where required and preserve the audit history.</w:t>
            </w:r>
          </w:p>
        </w:tc>
      </w:tr>
    </w:tbl>
    <w:p/>
    <w:p>
      <w:pPr>
        <w:pStyle w:val="Heading2"/>
      </w:pPr>
      <w:r>
        <w:t>How each contribution earns</w:t>
      </w:r>
    </w:p>
    <w:p>
      <w:pPr>
        <w:pStyle w:val="ListBullet"/>
      </w:pPr>
      <w:r>
        <w:t>Ideas earn when the laboratory accepts a concrete proposal and demonstrably implements it. The acceptance record names the resulting component and defines the earning period and descendants covered.</w:t>
      </w:r>
    </w:p>
    <w:p>
      <w:pPr>
        <w:pStyle w:val="ListBullet"/>
      </w:pPr>
      <w:r>
        <w:t>Suggestions earn when an accepted improvement produces reproducible gains in quality, cost, reliability, safety or accessibility on a preregistered test. Accepted improvements may receive a funded bounty plus ongoing adoption royalties if agreed.</w:t>
      </w:r>
    </w:p>
    <w:p>
      <w:pPr>
        <w:pStyle w:val="ListBullet"/>
      </w:pPr>
      <w:r>
        <w:t>Prompts earn when a licensed template or workflow version is selected for a paid product and used in eligible paid sessions. Training use requires an additional grant and belongs to the training royalty track.</w:t>
      </w:r>
    </w:p>
    <w:p>
      <w:pPr>
        <w:pStyle w:val="Heading2"/>
      </w:pPr>
      <w:r>
        <w:t>Fairness and anti gaming</w:t>
      </w:r>
    </w:p>
    <w:p>
      <w:r>
        <w:t>CONTRIB 02 — Cluster substantially duplicate submissions before scoring. Independent contributions may share credit without granting the first submitter a monopoly on an idea. A human panel resolves competing evidence and must disclose conflicts. Common facts, copied prompts, automated spam and self generated traffic do not create automatic claims.</w:t>
      </w:r>
    </w:p>
    <w:p>
      <w:r>
        <w:t>CONTRIB 03 — Rejecting a submission must produce a reason and an appeal route. If an audit finds that a supposedly rejected proposal was subsequently adopted, review the adoption and remedy any unpaid contractual use. Never silently convert rejected submissions into free production inputs. Existing labor, employment and collective agreements remain controlling where applicable.</w:t>
      </w:r>
    </w:p>
    <w:p>
      <w:pPr>
        <w:pStyle w:val="Heading1"/>
        <w:pageBreakBefore/>
      </w:pPr>
      <w:r>
        <w:t>3 Royalty model and settlement</w:t>
      </w:r>
    </w:p>
    <w:p>
      <w:r>
        <w:t>ROYALTY 01 — Use cash accounting and a conventional auditable ledger. No token issuance or blockchain is required. Final commercial agreements control; the following is a proposed launch schedule, not an assertion about market rates or legal entitlements.</w:t>
      </w:r>
    </w:p>
    <w:p>
      <w:pPr>
        <w:pStyle w:val="Heading2"/>
      </w:pPr>
      <w:r>
        <w:t>Revenue base and pool</w:t>
      </w:r>
    </w:p>
    <w:p>
      <w:r>
        <w:t>For each calendar month, eligible revenue R equals collected revenue attributable to covered APIs, subscriptions, deployments and model licenses, less refunds, chargebacks, sales taxes and directly charged payment processing fees. Do not deduct salaries, compute, marketing, affiliate markups or general overhead. Publish the allocation method for bundles and related party sales before signing contributors.</w:t>
      </w:r>
    </w:p>
    <w:p>
      <w:r>
        <w:t>Set the recurring contributor pool P to 20% of R. Contractual minimums, per use fees and bounties remain payable as promised even if they exceed the pool. They may offset an individual’s pool payment only where that agreement expressly allows it; they cannot reduce other contributors’ shares.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440"/>
        <w:gridCol w:w="5616"/>
      </w:tblGrid>
      <w:tr>
        <w:trPr>
          <w:cantSplit/>
          <w:tblHeader/>
        </w:trPr>
        <w:tc>
          <w:tcPr>
            <w:tcW w:type="dxa" w:w="2880"/>
            <w:vAlign w:val="center"/>
            <w:tcMar>
              <w:top w:w="90" w:type="dxa"/>
              <w:left w:w="90" w:type="dxa"/>
              <w:bottom w:w="90" w:type="dxa"/>
              <w:right w:w="90" w:type="dxa"/>
            </w:tcMar>
            <w:shd w:fill="1F3A4D"/>
          </w:tcPr>
          <w:p>
            <w:pPr>
              <w:spacing w:after="40" w:line="245" w:lineRule="auto"/>
            </w:pPr>
            <w:r>
              <w:rPr>
                <w:b/>
                <w:color w:val="FFFFFF"/>
                <w:sz w:val="19"/>
              </w:rPr>
              <w:t>Pool track</w:t>
            </w:r>
          </w:p>
        </w:tc>
        <w:tc>
          <w:tcPr>
            <w:tcW w:type="dxa" w:w="1440"/>
            <w:vAlign w:val="center"/>
            <w:tcMar>
              <w:top w:w="90" w:type="dxa"/>
              <w:left w:w="90" w:type="dxa"/>
              <w:bottom w:w="90" w:type="dxa"/>
              <w:right w:w="90" w:type="dxa"/>
            </w:tcMar>
            <w:shd w:fill="1F3A4D"/>
          </w:tcPr>
          <w:p>
            <w:pPr>
              <w:spacing w:after="40" w:line="245" w:lineRule="auto"/>
            </w:pPr>
            <w:r>
              <w:rPr>
                <w:b/>
                <w:color w:val="FFFFFF"/>
                <w:sz w:val="19"/>
              </w:rPr>
              <w:t>Share of P</w:t>
            </w:r>
          </w:p>
        </w:tc>
        <w:tc>
          <w:tcPr>
            <w:tcW w:type="dxa" w:w="5616"/>
            <w:vAlign w:val="center"/>
            <w:tcMar>
              <w:top w:w="90" w:type="dxa"/>
              <w:left w:w="90" w:type="dxa"/>
              <w:bottom w:w="90" w:type="dxa"/>
              <w:right w:w="90" w:type="dxa"/>
            </w:tcMar>
            <w:shd w:fill="1F3A4D"/>
          </w:tcPr>
          <w:p>
            <w:pPr>
              <w:spacing w:after="40" w:line="245" w:lineRule="auto"/>
            </w:pPr>
            <w:r>
              <w:rPr>
                <w:b/>
                <w:color w:val="FFFFFF"/>
                <w:sz w:val="19"/>
              </w:rPr>
              <w:t>Allocation basis</w:t>
            </w:r>
          </w:p>
        </w:tc>
      </w:tr>
      <w:tr>
        <w:trPr>
          <w:cantSplit/>
        </w:trPr>
        <w:tc>
          <w:tcPr>
            <w:tcW w:type="dxa" w:w="2880"/>
            <w:vAlign w:val="center"/>
            <w:tcMar>
              <w:top w:w="90" w:type="dxa"/>
              <w:left w:w="90" w:type="dxa"/>
              <w:bottom w:w="90" w:type="dxa"/>
              <w:right w:w="90" w:type="dxa"/>
            </w:tcMar>
            <w:shd w:fill="FFFFFF"/>
          </w:tcPr>
          <w:p>
            <w:pPr>
              <w:spacing w:after="40" w:line="245" w:lineRule="auto"/>
            </w:pPr>
            <w:r>
              <w:rPr>
                <w:sz w:val="19"/>
              </w:rPr>
              <w:t>Training and licensed corpus</w:t>
            </w:r>
          </w:p>
        </w:tc>
        <w:tc>
          <w:tcPr>
            <w:tcW w:type="dxa" w:w="1440"/>
            <w:vAlign w:val="center"/>
            <w:tcMar>
              <w:top w:w="90" w:type="dxa"/>
              <w:left w:w="90" w:type="dxa"/>
              <w:bottom w:w="90" w:type="dxa"/>
              <w:right w:w="90" w:type="dxa"/>
            </w:tcMar>
            <w:shd w:fill="FFFFFF"/>
          </w:tcPr>
          <w:p>
            <w:pPr>
              <w:spacing w:after="40" w:line="245" w:lineRule="auto"/>
            </w:pPr>
            <w:r>
              <w:rPr>
                <w:sz w:val="19"/>
              </w:rPr>
              <w:t>60%</w:t>
            </w:r>
          </w:p>
        </w:tc>
        <w:tc>
          <w:tcPr>
            <w:tcW w:type="dxa" w:w="5616"/>
            <w:vAlign w:val="center"/>
            <w:tcMar>
              <w:top w:w="90" w:type="dxa"/>
              <w:left w:w="90" w:type="dxa"/>
              <w:bottom w:w="90" w:type="dxa"/>
              <w:right w:w="90" w:type="dxa"/>
            </w:tcMar>
            <w:shd w:fill="FFFFFF"/>
          </w:tcPr>
          <w:p>
            <w:pPr>
              <w:spacing w:after="40" w:line="245" w:lineRule="auto"/>
            </w:pPr>
            <w:r>
              <w:rPr>
                <w:sz w:val="19"/>
              </w:rPr>
              <w:t>Eligible deduplicated exposure units multiplied by a preregistered quality weight, allocated within the relevant model cohort.</w:t>
            </w:r>
          </w:p>
        </w:tc>
      </w:tr>
      <w:tr>
        <w:trPr>
          <w:cantSplit/>
        </w:trPr>
        <w:tc>
          <w:tcPr>
            <w:tcW w:type="dxa" w:w="2880"/>
            <w:vAlign w:val="center"/>
            <w:tcMar>
              <w:top w:w="90" w:type="dxa"/>
              <w:left w:w="90" w:type="dxa"/>
              <w:bottom w:w="90" w:type="dxa"/>
              <w:right w:w="90" w:type="dxa"/>
            </w:tcMar>
            <w:shd w:fill="F1F4F6"/>
          </w:tcPr>
          <w:p>
            <w:pPr>
              <w:spacing w:after="40" w:line="245" w:lineRule="auto"/>
            </w:pPr>
            <w:r>
              <w:rPr>
                <w:sz w:val="19"/>
              </w:rPr>
              <w:t>Prompt and workflow reuse</w:t>
            </w:r>
          </w:p>
        </w:tc>
        <w:tc>
          <w:tcPr>
            <w:tcW w:type="dxa" w:w="1440"/>
            <w:vAlign w:val="center"/>
            <w:tcMar>
              <w:top w:w="90" w:type="dxa"/>
              <w:left w:w="90" w:type="dxa"/>
              <w:bottom w:w="90" w:type="dxa"/>
              <w:right w:w="90" w:type="dxa"/>
            </w:tcMar>
            <w:shd w:fill="F1F4F6"/>
          </w:tcPr>
          <w:p>
            <w:pPr>
              <w:spacing w:after="40" w:line="245" w:lineRule="auto"/>
            </w:pPr>
            <w:r>
              <w:rPr>
                <w:sz w:val="19"/>
              </w:rPr>
              <w:t>20%</w:t>
            </w:r>
          </w:p>
        </w:tc>
        <w:tc>
          <w:tcPr>
            <w:tcW w:type="dxa" w:w="5616"/>
            <w:vAlign w:val="center"/>
            <w:tcMar>
              <w:top w:w="90" w:type="dxa"/>
              <w:left w:w="90" w:type="dxa"/>
              <w:bottom w:w="90" w:type="dxa"/>
              <w:right w:w="90" w:type="dxa"/>
            </w:tcMar>
            <w:shd w:fill="F1F4F6"/>
          </w:tcPr>
          <w:p>
            <w:pPr>
              <w:spacing w:after="40" w:line="245" w:lineRule="auto"/>
            </w:pPr>
            <w:r>
              <w:rPr>
                <w:sz w:val="19"/>
              </w:rPr>
              <w:t>Verified paid executions of accepted versions, with anti fraud filters and disclosed task weights.</w:t>
            </w:r>
          </w:p>
        </w:tc>
      </w:tr>
      <w:tr>
        <w:trPr>
          <w:cantSplit/>
        </w:trPr>
        <w:tc>
          <w:tcPr>
            <w:tcW w:type="dxa" w:w="2880"/>
            <w:vAlign w:val="center"/>
            <w:tcMar>
              <w:top w:w="90" w:type="dxa"/>
              <w:left w:w="90" w:type="dxa"/>
              <w:bottom w:w="90" w:type="dxa"/>
              <w:right w:w="90" w:type="dxa"/>
            </w:tcMar>
            <w:shd w:fill="FFFFFF"/>
          </w:tcPr>
          <w:p>
            <w:pPr>
              <w:spacing w:after="40" w:line="245" w:lineRule="auto"/>
            </w:pPr>
            <w:r>
              <w:rPr>
                <w:sz w:val="19"/>
              </w:rPr>
              <w:t>Adopted ideas and suggestions</w:t>
            </w:r>
          </w:p>
        </w:tc>
        <w:tc>
          <w:tcPr>
            <w:tcW w:type="dxa" w:w="1440"/>
            <w:vAlign w:val="center"/>
            <w:tcMar>
              <w:top w:w="90" w:type="dxa"/>
              <w:left w:w="90" w:type="dxa"/>
              <w:bottom w:w="90" w:type="dxa"/>
              <w:right w:w="90" w:type="dxa"/>
            </w:tcMar>
            <w:shd w:fill="FFFFFF"/>
          </w:tcPr>
          <w:p>
            <w:pPr>
              <w:spacing w:after="40" w:line="245" w:lineRule="auto"/>
            </w:pPr>
            <w:r>
              <w:rPr>
                <w:sz w:val="19"/>
              </w:rPr>
              <w:t>20%</w:t>
            </w:r>
          </w:p>
        </w:tc>
        <w:tc>
          <w:tcPr>
            <w:tcW w:type="dxa" w:w="5616"/>
            <w:vAlign w:val="center"/>
            <w:tcMar>
              <w:top w:w="90" w:type="dxa"/>
              <w:left w:w="90" w:type="dxa"/>
              <w:bottom w:w="90" w:type="dxa"/>
              <w:right w:w="90" w:type="dxa"/>
            </w:tcMar>
            <w:shd w:fill="FFFFFF"/>
          </w:tcPr>
          <w:p>
            <w:pPr>
              <w:spacing w:after="40" w:line="245" w:lineRule="auto"/>
            </w:pPr>
            <w:r>
              <w:rPr>
                <w:sz w:val="19"/>
              </w:rPr>
              <w:t>Contracted adoption points tied to independently reviewed implementations and validated improvement evidence.</w:t>
            </w:r>
          </w:p>
        </w:tc>
      </w:tr>
    </w:tbl>
    <w:p/>
    <w:p>
      <w:r>
        <w:t>Within a track k, an eligible contribution i receives P × track_share[k] × score[i] / sum(eligible_scores[k]). Scores are nonnegative. If the denominator is zero, reserve that track’s allocation for later reconciliation under the published agreement; never silently return it to laboratory profit.</w:t>
      </w:r>
    </w:p>
    <w:p>
      <w:r>
        <w:t>Publish score weights, exposure caps and model cohort revenue splits before use. Checkpoint descendants inherit agreed royalty obligations; renaming, distillation or product bundling cannot erase contracted payments. Distinct uses may earn in multiple tracks only when the agreement explicitly permits it.</w:t>
      </w:r>
    </w:p>
    <w:p>
      <w:pPr>
        <w:pStyle w:val="Heading2"/>
      </w:pPr>
      <w:r>
        <w:t>Worked example</w:t>
      </w:r>
    </w:p>
    <w:p>
      <w:r>
        <w:t>If R is $1,000,000, P is $200,000: $120,000 for the corpus, $40,000 for prompts and $40,000 for adopted improvements. A prompt author with 2% of eligible prompt points earns $800. An adopted suggestion with 5% of its track earns $2,000. A licensor with a $10,000 pool allocation and a $12,000 minimum receives $12,000 if the minimum offsets that same allocation; the extra $2,000 is a laboratory expense.</w:t>
      </w:r>
    </w:p>
    <w:p>
      <w:pPr>
        <w:pStyle w:val="Heading2"/>
      </w:pPr>
      <w:r>
        <w:t>Settlement and guarantees</w:t>
      </w:r>
    </w:p>
    <w:p>
      <w:r>
        <w:t>ROYALTY 02 — Issue monthly itemized statements within 15 days and pay undisputed accrued balances within 45 days of month end, subject to legally required identity and tax checks. A proposed $25 payout threshold carries forward without forfeiture and is paid annually where legally permitted. Contributors see revenue attribution, scores, deductions, splits, reserves and corrections.</w:t>
      </w:r>
    </w:p>
    <w:p>
      <w:r>
        <w:t>ROYALTY 03 — Use unique event IDs and double entry accounting. Replayed events cannot earn twice. Refund adjustments follow published rules; clawbacks require evidence and an appeal. Keep disputed balances reserved, reconcile quarterly and commission an annual independent audit. Changes to rates are prospective and cannot override signed contracts.</w:t>
      </w:r>
    </w:p>
    <w:p>
      <w:pPr>
        <w:pStyle w:val="Heading1"/>
        <w:pageBreakBefore/>
      </w:pPr>
      <w:r>
        <w:t>4 Attribution and user experience</w:t>
      </w:r>
    </w:p>
    <w:p>
      <w:r>
        <w:t>ATTR 01 — Every answer MUST expose its model version, whether external sources were used and the limits of its attribution. A source receipt is a record of evidence and permissions, not a guarantee that the answer is correct or legally cleared for every downstream purpose.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416"/>
      </w:tblGrid>
      <w:tr>
        <w:trPr>
          <w:cantSplit/>
          <w:tblHeader/>
        </w:trPr>
        <w:tc>
          <w:tcPr>
            <w:tcW w:type="dxa" w:w="2520"/>
            <w:vAlign w:val="center"/>
            <w:tcMar>
              <w:top w:w="90" w:type="dxa"/>
              <w:left w:w="90" w:type="dxa"/>
              <w:bottom w:w="90" w:type="dxa"/>
              <w:right w:w="90" w:type="dxa"/>
            </w:tcMar>
            <w:shd w:fill="1F3A4D"/>
          </w:tcPr>
          <w:p>
            <w:pPr>
              <w:spacing w:after="40" w:line="245" w:lineRule="auto"/>
            </w:pPr>
            <w:r>
              <w:rPr>
                <w:b/>
                <w:color w:val="FFFFFF"/>
                <w:sz w:val="19"/>
              </w:rPr>
              <w:t>Evidence type</w:t>
            </w:r>
          </w:p>
        </w:tc>
        <w:tc>
          <w:tcPr>
            <w:tcW w:type="dxa" w:w="7416"/>
            <w:vAlign w:val="center"/>
            <w:tcMar>
              <w:top w:w="90" w:type="dxa"/>
              <w:left w:w="90" w:type="dxa"/>
              <w:bottom w:w="90" w:type="dxa"/>
              <w:right w:w="90" w:type="dxa"/>
            </w:tcMar>
            <w:shd w:fill="1F3A4D"/>
          </w:tcPr>
          <w:p>
            <w:pPr>
              <w:spacing w:after="40" w:line="245" w:lineRule="auto"/>
            </w:pPr>
            <w:r>
              <w:rPr>
                <w:b/>
                <w:color w:val="FFFFFF"/>
                <w:sz w:val="19"/>
              </w:rPr>
              <w:t>Permitted claim</w:t>
            </w:r>
          </w:p>
        </w:tc>
      </w:tr>
      <w:tr>
        <w:trPr>
          <w:cantSplit/>
        </w:trPr>
        <w:tc>
          <w:tcPr>
            <w:tcW w:type="dxa" w:w="2520"/>
            <w:vAlign w:val="center"/>
            <w:tcMar>
              <w:top w:w="90" w:type="dxa"/>
              <w:left w:w="90" w:type="dxa"/>
              <w:bottom w:w="90" w:type="dxa"/>
              <w:right w:w="90" w:type="dxa"/>
            </w:tcMar>
            <w:shd w:fill="FFFFFF"/>
          </w:tcPr>
          <w:p>
            <w:pPr>
              <w:spacing w:after="40" w:line="245" w:lineRule="auto"/>
            </w:pPr>
            <w:r>
              <w:rPr>
                <w:sz w:val="19"/>
              </w:rPr>
              <w:t>Verified quotation</w:t>
            </w:r>
          </w:p>
        </w:tc>
        <w:tc>
          <w:tcPr>
            <w:tcW w:type="dxa" w:w="7416"/>
            <w:vAlign w:val="center"/>
            <w:tcMar>
              <w:top w:w="90" w:type="dxa"/>
              <w:left w:w="90" w:type="dxa"/>
              <w:bottom w:w="90" w:type="dxa"/>
              <w:right w:w="90" w:type="dxa"/>
            </w:tcMar>
            <w:shd w:fill="FFFFFF"/>
          </w:tcPr>
          <w:p>
            <w:pPr>
              <w:spacing w:after="40" w:line="245" w:lineRule="auto"/>
            </w:pPr>
            <w:r>
              <w:rPr>
                <w:sz w:val="19"/>
              </w:rPr>
              <w:t>This passage matches the identified source and location. Record quotation limits and applicable permissions.</w:t>
            </w:r>
          </w:p>
        </w:tc>
      </w:tr>
      <w:tr>
        <w:trPr>
          <w:cantSplit/>
        </w:trPr>
        <w:tc>
          <w:tcPr>
            <w:tcW w:type="dxa" w:w="2520"/>
            <w:vAlign w:val="center"/>
            <w:tcMar>
              <w:top w:w="90" w:type="dxa"/>
              <w:left w:w="90" w:type="dxa"/>
              <w:bottom w:w="90" w:type="dxa"/>
              <w:right w:w="90" w:type="dxa"/>
            </w:tcMar>
            <w:shd w:fill="F1F4F6"/>
          </w:tcPr>
          <w:p>
            <w:pPr>
              <w:spacing w:after="40" w:line="245" w:lineRule="auto"/>
            </w:pPr>
            <w:r>
              <w:rPr>
                <w:sz w:val="19"/>
              </w:rPr>
              <w:t>Retrieved support</w:t>
            </w:r>
          </w:p>
        </w:tc>
        <w:tc>
          <w:tcPr>
            <w:tcW w:type="dxa" w:w="7416"/>
            <w:vAlign w:val="center"/>
            <w:tcMar>
              <w:top w:w="90" w:type="dxa"/>
              <w:left w:w="90" w:type="dxa"/>
              <w:bottom w:w="90" w:type="dxa"/>
              <w:right w:w="90" w:type="dxa"/>
            </w:tcMar>
            <w:shd w:fill="F1F4F6"/>
          </w:tcPr>
          <w:p>
            <w:pPr>
              <w:spacing w:after="40" w:line="245" w:lineRule="auto"/>
            </w:pPr>
            <w:r>
              <w:rPr>
                <w:sz w:val="19"/>
              </w:rPr>
              <w:t>This source was retrieved and supports the attached claim. Retrieval alone does not prove that every sentence is supported.</w:t>
            </w:r>
          </w:p>
        </w:tc>
      </w:tr>
      <w:tr>
        <w:trPr>
          <w:cantSplit/>
        </w:trPr>
        <w:tc>
          <w:tcPr>
            <w:tcW w:type="dxa" w:w="2520"/>
            <w:vAlign w:val="center"/>
            <w:tcMar>
              <w:top w:w="90" w:type="dxa"/>
              <w:left w:w="90" w:type="dxa"/>
              <w:bottom w:w="90" w:type="dxa"/>
              <w:right w:w="90" w:type="dxa"/>
            </w:tcMar>
            <w:shd w:fill="FFFFFF"/>
          </w:tcPr>
          <w:p>
            <w:pPr>
              <w:spacing w:after="40" w:line="245" w:lineRule="auto"/>
            </w:pPr>
            <w:r>
              <w:rPr>
                <w:sz w:val="19"/>
              </w:rPr>
              <w:t>Recorded contribution reuse</w:t>
            </w:r>
          </w:p>
        </w:tc>
        <w:tc>
          <w:tcPr>
            <w:tcW w:type="dxa" w:w="7416"/>
            <w:vAlign w:val="center"/>
            <w:tcMar>
              <w:top w:w="90" w:type="dxa"/>
              <w:left w:w="90" w:type="dxa"/>
              <w:bottom w:w="90" w:type="dxa"/>
              <w:right w:w="90" w:type="dxa"/>
            </w:tcMar>
            <w:shd w:fill="FFFFFF"/>
          </w:tcPr>
          <w:p>
            <w:pPr>
              <w:spacing w:after="40" w:line="245" w:lineRule="auto"/>
            </w:pPr>
            <w:r>
              <w:rPr>
                <w:sz w:val="19"/>
              </w:rPr>
              <w:t>This registered template, tool or adopted method was executed under the stated contract.</w:t>
            </w:r>
          </w:p>
        </w:tc>
      </w:tr>
      <w:tr>
        <w:trPr>
          <w:cantSplit/>
        </w:trPr>
        <w:tc>
          <w:tcPr>
            <w:tcW w:type="dxa" w:w="2520"/>
            <w:vAlign w:val="center"/>
            <w:tcMar>
              <w:top w:w="90" w:type="dxa"/>
              <w:left w:w="90" w:type="dxa"/>
              <w:bottom w:w="90" w:type="dxa"/>
              <w:right w:w="90" w:type="dxa"/>
            </w:tcMar>
            <w:shd w:fill="F1F4F6"/>
          </w:tcPr>
          <w:p>
            <w:pPr>
              <w:spacing w:after="40" w:line="245" w:lineRule="auto"/>
            </w:pPr>
            <w:r>
              <w:rPr>
                <w:sz w:val="19"/>
              </w:rPr>
              <w:t>Training participation</w:t>
            </w:r>
          </w:p>
        </w:tc>
        <w:tc>
          <w:tcPr>
            <w:tcW w:type="dxa" w:w="7416"/>
            <w:vAlign w:val="center"/>
            <w:tcMar>
              <w:top w:w="90" w:type="dxa"/>
              <w:left w:w="90" w:type="dxa"/>
              <w:bottom w:w="90" w:type="dxa"/>
              <w:right w:w="90" w:type="dxa"/>
            </w:tcMar>
            <w:shd w:fill="F1F4F6"/>
          </w:tcPr>
          <w:p>
            <w:pPr>
              <w:spacing w:after="40" w:line="245" w:lineRule="auto"/>
            </w:pPr>
            <w:r>
              <w:rPr>
                <w:sz w:val="19"/>
              </w:rPr>
              <w:t>This asset is in the training manifest for this checkpoint. Participation is distinct from proof that it caused this answer.</w:t>
            </w:r>
          </w:p>
        </w:tc>
      </w:tr>
      <w:tr>
        <w:trPr>
          <w:cantSplit/>
        </w:trPr>
        <w:tc>
          <w:tcPr>
            <w:tcW w:type="dxa" w:w="2520"/>
            <w:vAlign w:val="center"/>
            <w:tcMar>
              <w:top w:w="90" w:type="dxa"/>
              <w:left w:w="90" w:type="dxa"/>
              <w:bottom w:w="90" w:type="dxa"/>
              <w:right w:w="90" w:type="dxa"/>
            </w:tcMar>
            <w:shd w:fill="FFFFFF"/>
          </w:tcPr>
          <w:p>
            <w:pPr>
              <w:spacing w:after="40" w:line="245" w:lineRule="auto"/>
            </w:pPr>
            <w:r>
              <w:rPr>
                <w:sz w:val="19"/>
              </w:rPr>
              <w:t>Estimated influence</w:t>
            </w:r>
          </w:p>
        </w:tc>
        <w:tc>
          <w:tcPr>
            <w:tcW w:type="dxa" w:w="7416"/>
            <w:vAlign w:val="center"/>
            <w:tcMar>
              <w:top w:w="90" w:type="dxa"/>
              <w:left w:w="90" w:type="dxa"/>
              <w:bottom w:w="90" w:type="dxa"/>
              <w:right w:w="90" w:type="dxa"/>
            </w:tcMar>
            <w:shd w:fill="FFFFFF"/>
          </w:tcPr>
          <w:p>
            <w:pPr>
              <w:spacing w:after="40" w:line="245" w:lineRule="auto"/>
            </w:pPr>
            <w:r>
              <w:rPr>
                <w:sz w:val="19"/>
              </w:rPr>
              <w:t>A research method estimates relevance to an output. Label method, uncertainty and limitations; do not present it as proven ownership.</w:t>
            </w:r>
          </w:p>
        </w:tc>
      </w:tr>
      <w:tr>
        <w:trPr>
          <w:cantSplit/>
        </w:trPr>
        <w:tc>
          <w:tcPr>
            <w:tcW w:type="dxa" w:w="2520"/>
            <w:vAlign w:val="center"/>
            <w:tcMar>
              <w:top w:w="90" w:type="dxa"/>
              <w:left w:w="90" w:type="dxa"/>
              <w:bottom w:w="90" w:type="dxa"/>
              <w:right w:w="90" w:type="dxa"/>
            </w:tcMar>
            <w:shd w:fill="F1F4F6"/>
          </w:tcPr>
          <w:p>
            <w:pPr>
              <w:spacing w:after="40" w:line="245" w:lineRule="auto"/>
            </w:pPr>
            <w:r>
              <w:rPr>
                <w:sz w:val="19"/>
              </w:rPr>
              <w:t>No verified source</w:t>
            </w:r>
          </w:p>
        </w:tc>
        <w:tc>
          <w:tcPr>
            <w:tcW w:type="dxa" w:w="7416"/>
            <w:vAlign w:val="center"/>
            <w:tcMar>
              <w:top w:w="90" w:type="dxa"/>
              <w:left w:w="90" w:type="dxa"/>
              <w:bottom w:w="90" w:type="dxa"/>
              <w:right w:w="90" w:type="dxa"/>
            </w:tcMar>
            <w:shd w:fill="F1F4F6"/>
          </w:tcPr>
          <w:p>
            <w:pPr>
              <w:spacing w:after="40" w:line="245" w:lineRule="auto"/>
            </w:pPr>
            <w:r>
              <w:rPr>
                <w:sz w:val="19"/>
              </w:rPr>
              <w:t>No source was verified for this statement. The system must not fabricate a citation or a royalty recipient.</w:t>
            </w:r>
          </w:p>
        </w:tc>
      </w:tr>
    </w:tbl>
    <w:p/>
    <w:p>
      <w:pPr>
        <w:pStyle w:val="Heading2"/>
      </w:pPr>
      <w:r>
        <w:t>Rights aware generation</w:t>
      </w:r>
    </w:p>
    <w:p>
      <w:r>
        <w:t>ATTR 02 — Check tenant access, use permissions, territorial limits and license status before retrieval and again before output. Attach citations at the claim or passage level. Preserve required notices in exported documents and code. Respect licensed quotation and transformation conditions; route uncertain reproduction requests to an approved alternative or review.</w:t>
      </w:r>
    </w:p>
    <w:p>
      <w:r>
        <w:t>Use exact and near duplicate matching, code license checks, cumulative extraction detection and targeted memorization evaluations as detection layers. They reduce risk but cannot certify noninfringement. Do not use one universal word limit as a legal test. Allow legitimate access to user supplied or appropriately licensed material according to its permissions.</w:t>
      </w:r>
    </w:p>
    <w:p>
      <w:r>
        <w:t xml:space="preserve">ATTR 03 — Do not fabricate an “original inventor” from semantic similarity. Model self reports are not provenance evidence. Research such as TRAK explores scalable influence estimates; production payments must instead rest on agreed, auditable allocation rules unless contributors expressly accept a validated estimation method. </w:t>
      </w:r>
      <w:hyperlink r:id="rId14">
        <w:r>
          <w:rPr>
            <w:color w:val="174A73"/>
            <w:u w:val="single"/>
          </w:rPr>
          <w:t>[S12]</w:t>
        </w:r>
      </w:hyperlink>
    </w:p>
    <w:p>
      <w:pPr>
        <w:pStyle w:val="Heading2"/>
      </w:pPr>
      <w:r>
        <w:t>Example receipt</w:t>
      </w:r>
    </w:p>
    <w:p>
      <w:r>
        <w:t>Answer A104, model SSA Text 0.1: two licensed documents support three claims; template T17 version 3 was executed; no output specific training origin was verified. Receipt records document IDs and locations, license versions, timestamp and settlement event IDs. The contributor portal reports compensation separately from the public answer.</w:t>
      </w:r>
    </w:p>
    <w:p>
      <w:r>
        <w:t>Show creator names only where attribution is permitted or required; protect confidential contributors with an approved credit alias or restricted receipt. A license requiring public attribution cannot be used in a product that cannot provide that credit. Users may inspect sources and report a missing credit without seeing another customer’s prompt.</w:t>
      </w:r>
    </w:p>
    <w:p>
      <w:pPr>
        <w:pStyle w:val="Heading1"/>
        <w:pageBreakBefore/>
      </w:pPr>
      <w:r>
        <w:t>5 System architecture and data contracts</w:t>
      </w:r>
    </w:p>
    <w:p>
      <w:r>
        <w:t>The architecture separates model computation from authorization, provenance and settlement so that model behavior alone cannot grant rights, decide ownership or authorize a payout.</w:t>
      </w:r>
    </w:p>
    <w:p>
      <w:pPr>
        <w:pStyle w:val="Heading2"/>
      </w:pPr>
      <w:r>
        <w:t>Training path</w:t>
      </w:r>
    </w:p>
    <w:p>
      <w:r>
        <w:t>Contributor intake → identity and rights review → encrypted source vault → deduplication and quality checks → signed dataset manifest → training run → evaluated checkpoint registry. Every transformation retains parent asset identifiers and its own version and digest.</w:t>
      </w:r>
    </w:p>
    <w:p>
      <w:pPr>
        <w:pStyle w:val="Heading2"/>
      </w:pPr>
      <w:r>
        <w:t>Serving path</w:t>
      </w:r>
    </w:p>
    <w:p>
      <w:r>
        <w:t>Customer request → identity and regional policy gate → authorized retrieval and template selection → model inference → output and citation validation → answer with receipt → durable usage event → royalty ledger. A request with missing authorization is denied for the affected resource. If payment metering is unavailable, buffer in a durable local log or pause chargeable reuse; do not deliver unmetered licensed content.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tcMar>
              <w:top w:w="90" w:type="dxa"/>
              <w:left w:w="90" w:type="dxa"/>
              <w:bottom w:w="90" w:type="dxa"/>
              <w:right w:w="90" w:type="dxa"/>
            </w:tcMar>
            <w:shd w:fill="1F3A4D"/>
          </w:tcPr>
          <w:p>
            <w:pPr>
              <w:spacing w:after="40" w:line="245" w:lineRule="auto"/>
            </w:pPr>
            <w:r>
              <w:rPr>
                <w:b/>
                <w:color w:val="FFFFFF"/>
                <w:sz w:val="19"/>
              </w:rPr>
              <w:t>Record</w:t>
            </w:r>
          </w:p>
        </w:tc>
        <w:tc>
          <w:tcPr>
            <w:tcW w:type="dxa" w:w="7776"/>
            <w:vAlign w:val="center"/>
            <w:tcMar>
              <w:top w:w="90" w:type="dxa"/>
              <w:left w:w="90" w:type="dxa"/>
              <w:bottom w:w="90" w:type="dxa"/>
              <w:right w:w="90" w:type="dxa"/>
            </w:tcMar>
            <w:shd w:fill="1F3A4D"/>
          </w:tcPr>
          <w:p>
            <w:pPr>
              <w:spacing w:after="40" w:line="245" w:lineRule="auto"/>
            </w:pPr>
            <w:r>
              <w:rPr>
                <w:b/>
                <w:color w:val="FFFFFF"/>
                <w:sz w:val="19"/>
              </w:rPr>
              <w:t>Minimum fields</w:t>
            </w:r>
          </w:p>
        </w:tc>
      </w:tr>
      <w:tr>
        <w:trPr>
          <w:cantSplit/>
        </w:trPr>
        <w:tc>
          <w:tcPr>
            <w:tcW w:type="dxa" w:w="2160"/>
            <w:vAlign w:val="center"/>
            <w:tcMar>
              <w:top w:w="90" w:type="dxa"/>
              <w:left w:w="90" w:type="dxa"/>
              <w:bottom w:w="90" w:type="dxa"/>
              <w:right w:w="90" w:type="dxa"/>
            </w:tcMar>
            <w:shd w:fill="FFFFFF"/>
          </w:tcPr>
          <w:p>
            <w:pPr>
              <w:spacing w:after="40" w:line="245" w:lineRule="auto"/>
            </w:pPr>
            <w:r>
              <w:rPr>
                <w:sz w:val="19"/>
              </w:rPr>
              <w:t>Asset and rights grant</w:t>
            </w:r>
          </w:p>
        </w:tc>
        <w:tc>
          <w:tcPr>
            <w:tcW w:type="dxa" w:w="7776"/>
            <w:vAlign w:val="center"/>
            <w:tcMar>
              <w:top w:w="90" w:type="dxa"/>
              <w:left w:w="90" w:type="dxa"/>
              <w:bottom w:w="90" w:type="dxa"/>
              <w:right w:w="90" w:type="dxa"/>
            </w:tcMar>
            <w:shd w:fill="FFFFFF"/>
          </w:tcPr>
          <w:p>
            <w:pPr>
              <w:spacing w:after="40" w:line="245" w:lineRule="auto"/>
            </w:pPr>
            <w:r>
              <w:rPr>
                <w:sz w:val="19"/>
              </w:rPr>
              <w:t>asset_id, version, digest, parent_ids, owner_claim, evidence_ref, grant_id, permitted_uses, territory, validity, revocation_terms, attribution_rule, confidentiality, reviewer</w:t>
            </w:r>
          </w:p>
        </w:tc>
      </w:tr>
      <w:tr>
        <w:trPr>
          <w:cantSplit/>
        </w:trPr>
        <w:tc>
          <w:tcPr>
            <w:tcW w:type="dxa" w:w="2160"/>
            <w:vAlign w:val="center"/>
            <w:tcMar>
              <w:top w:w="90" w:type="dxa"/>
              <w:left w:w="90" w:type="dxa"/>
              <w:bottom w:w="90" w:type="dxa"/>
              <w:right w:w="90" w:type="dxa"/>
            </w:tcMar>
            <w:shd w:fill="F1F4F6"/>
          </w:tcPr>
          <w:p>
            <w:pPr>
              <w:spacing w:after="40" w:line="245" w:lineRule="auto"/>
            </w:pPr>
            <w:r>
              <w:rPr>
                <w:sz w:val="19"/>
              </w:rPr>
              <w:t>Contribution</w:t>
            </w:r>
          </w:p>
        </w:tc>
        <w:tc>
          <w:tcPr>
            <w:tcW w:type="dxa" w:w="7776"/>
            <w:vAlign w:val="center"/>
            <w:tcMar>
              <w:top w:w="90" w:type="dxa"/>
              <w:left w:w="90" w:type="dxa"/>
              <w:bottom w:w="90" w:type="dxa"/>
              <w:right w:w="90" w:type="dxa"/>
            </w:tcMar>
            <w:shd w:fill="F1F4F6"/>
          </w:tcPr>
          <w:p>
            <w:pPr>
              <w:spacing w:after="40" w:line="245" w:lineRule="auto"/>
            </w:pPr>
            <w:r>
              <w:rPr>
                <w:sz w:val="19"/>
              </w:rPr>
              <w:t>contribution_id, contributor_ids, type, parent_ids, acceptance_state, contract_version, adopted_component, evaluation_ref, earning_term, royalty_track, coauthor_splits</w:t>
            </w:r>
          </w:p>
        </w:tc>
      </w:tr>
      <w:tr>
        <w:trPr>
          <w:cantSplit/>
        </w:trPr>
        <w:tc>
          <w:tcPr>
            <w:tcW w:type="dxa" w:w="2160"/>
            <w:vAlign w:val="center"/>
            <w:tcMar>
              <w:top w:w="90" w:type="dxa"/>
              <w:left w:w="90" w:type="dxa"/>
              <w:bottom w:w="90" w:type="dxa"/>
              <w:right w:w="90" w:type="dxa"/>
            </w:tcMar>
            <w:shd w:fill="FFFFFF"/>
          </w:tcPr>
          <w:p>
            <w:pPr>
              <w:spacing w:after="40" w:line="245" w:lineRule="auto"/>
            </w:pPr>
            <w:r>
              <w:rPr>
                <w:sz w:val="19"/>
              </w:rPr>
              <w:t>Dataset and checkpoint</w:t>
            </w:r>
          </w:p>
        </w:tc>
        <w:tc>
          <w:tcPr>
            <w:tcW w:type="dxa" w:w="7776"/>
            <w:vAlign w:val="center"/>
            <w:tcMar>
              <w:top w:w="90" w:type="dxa"/>
              <w:left w:w="90" w:type="dxa"/>
              <w:bottom w:w="90" w:type="dxa"/>
              <w:right w:w="90" w:type="dxa"/>
            </w:tcMar>
            <w:shd w:fill="FFFFFF"/>
          </w:tcPr>
          <w:p>
            <w:pPr>
              <w:spacing w:after="40" w:line="245" w:lineRule="auto"/>
            </w:pPr>
            <w:r>
              <w:rPr>
                <w:sz w:val="19"/>
              </w:rPr>
              <w:t>manifest_id, included_asset_versions, grant_snapshot, transforms, effective_exposures, run_id, code_version, checkpoint_hash, evaluation_ids, release_status</w:t>
            </w:r>
          </w:p>
        </w:tc>
      </w:tr>
      <w:tr>
        <w:trPr>
          <w:cantSplit/>
        </w:trPr>
        <w:tc>
          <w:tcPr>
            <w:tcW w:type="dxa" w:w="2160"/>
            <w:vAlign w:val="center"/>
            <w:tcMar>
              <w:top w:w="90" w:type="dxa"/>
              <w:left w:w="90" w:type="dxa"/>
              <w:bottom w:w="90" w:type="dxa"/>
              <w:right w:w="90" w:type="dxa"/>
            </w:tcMar>
            <w:shd w:fill="F1F4F6"/>
          </w:tcPr>
          <w:p>
            <w:pPr>
              <w:spacing w:after="40" w:line="245" w:lineRule="auto"/>
            </w:pPr>
            <w:r>
              <w:rPr>
                <w:sz w:val="19"/>
              </w:rPr>
              <w:t>Usage and settlement</w:t>
            </w:r>
          </w:p>
        </w:tc>
        <w:tc>
          <w:tcPr>
            <w:tcW w:type="dxa" w:w="7776"/>
            <w:vAlign w:val="center"/>
            <w:tcMar>
              <w:top w:w="90" w:type="dxa"/>
              <w:left w:w="90" w:type="dxa"/>
              <w:bottom w:w="90" w:type="dxa"/>
              <w:right w:w="90" w:type="dxa"/>
            </w:tcMar>
            <w:shd w:fill="F1F4F6"/>
          </w:tcPr>
          <w:p>
            <w:pPr>
              <w:spacing w:after="40" w:line="245" w:lineRule="auto"/>
            </w:pPr>
            <w:r>
              <w:rPr>
                <w:sz w:val="19"/>
              </w:rPr>
              <w:t>event_id, tenant_alias, model_id, asset_or_contribution_id, use_type, quantity, timestamp, region, grant_version, receipt_id, revenue_bucket, ledger_transaction_id</w:t>
            </w:r>
          </w:p>
        </w:tc>
      </w:tr>
      <w:tr>
        <w:trPr>
          <w:cantSplit/>
        </w:trPr>
        <w:tc>
          <w:tcPr>
            <w:tcW w:type="dxa" w:w="2160"/>
            <w:vAlign w:val="center"/>
            <w:tcMar>
              <w:top w:w="90" w:type="dxa"/>
              <w:left w:w="90" w:type="dxa"/>
              <w:bottom w:w="90" w:type="dxa"/>
              <w:right w:w="90" w:type="dxa"/>
            </w:tcMar>
            <w:shd w:fill="FFFFFF"/>
          </w:tcPr>
          <w:p>
            <w:pPr>
              <w:spacing w:after="40" w:line="245" w:lineRule="auto"/>
            </w:pPr>
            <w:r>
              <w:rPr>
                <w:sz w:val="19"/>
              </w:rPr>
              <w:t>Dispute and change</w:t>
            </w:r>
          </w:p>
        </w:tc>
        <w:tc>
          <w:tcPr>
            <w:tcW w:type="dxa" w:w="7776"/>
            <w:vAlign w:val="center"/>
            <w:tcMar>
              <w:top w:w="90" w:type="dxa"/>
              <w:left w:w="90" w:type="dxa"/>
              <w:bottom w:w="90" w:type="dxa"/>
              <w:right w:w="90" w:type="dxa"/>
            </w:tcMar>
            <w:shd w:fill="FFFFFF"/>
          </w:tcPr>
          <w:p>
            <w:pPr>
              <w:spacing w:after="40" w:line="245" w:lineRule="auto"/>
            </w:pPr>
            <w:r>
              <w:rPr>
                <w:sz w:val="19"/>
              </w:rPr>
              <w:t>claim_id, affected_ids, evidence, reviewer, state, hold_amount, decision, appeal, policy_version, effective_time, remediation_record</w:t>
            </w:r>
          </w:p>
        </w:tc>
      </w:tr>
    </w:tbl>
    <w:p/>
    <w:p>
      <w:pPr>
        <w:pStyle w:val="Heading2"/>
      </w:pPr>
      <w:r>
        <w:t>Interfaces and invariants</w:t>
      </w:r>
    </w:p>
    <w:p>
      <w:r>
        <w:t>Proposed interfaces: register asset; submit contribution; issue scoped use grant; query attribution receipt; retrieve contributor statement; open dispute; revoke future permission. Access control applies at the record level. Signed events use stable identifiers, schema versions and idempotency keys; retries preserve the original event identity.</w:t>
      </w:r>
    </w:p>
    <w:p>
      <w:r>
        <w:t>ARCH 01 — A deployable checkpoint must resolve to an immutable manifest and release decision. ARCH 02 — Every payable event must resolve to an active agreement and recipient split totaling 100%. ARCH 03 — One economic use is counted once per contractual charging rule, even when several retrieval chunks or retries are involved.</w:t>
      </w:r>
    </w:p>
    <w:p>
      <w:r>
        <w:t>ARCH 04 — Keep personal information and raw prompts outside the append only financial audit log. Store confidential evidence in a deletable, access controlled vault and reference opaque identifiers. Correct records through signed amendments; enforce retention schedules and legal holds without publicly exposing source material.</w:t>
      </w:r>
    </w:p>
    <w:p>
      <w:pPr>
        <w:pStyle w:val="Heading1"/>
        <w:pageBreakBefore/>
      </w:pPr>
      <w:r>
        <w:t>6 Model development program</w:t>
      </w:r>
    </w:p>
    <w:p>
      <w:pPr>
        <w:pStyle w:val="Heading2"/>
      </w:pPr>
      <w:r>
        <w:t>Research hypothesis and model family</w:t>
      </w:r>
    </w:p>
    <w:p>
      <w:r>
        <w:t>Test whether high quality, permissioned data and retrieval can deliver competitive capability with clearer contributor economics. Do not assume that clean licensing alone produces a frontier model. Measure the capability cost of corpus exclusions and fund targeted data acquisition where the gap is material.</w:t>
      </w:r>
    </w:p>
    <w:p>
      <w:r>
        <w:t>MODEL 01 — Begin with a text and code transformer research model in the 7 to 14 billion parameter range. Compare dense and mixture of experts designs through smaller controlled experiments before committing the principal training budget. Add vision, audio or video only when both the source media rights and modality evaluations are ready.</w:t>
      </w:r>
    </w:p>
    <w:p>
      <w:r>
        <w:t>A pilot may use a third party base model if its license permits the deployment, but its upstream training provenance must be disclosed as unverified unless audited. Such a pilot may demonstrate the attribution service; it cannot substantiate an end to end permissioned training claim. The first model making that claim must be trained from admitted data and audited dependencies.</w:t>
      </w:r>
    </w:p>
    <w:p>
      <w:pPr>
        <w:pStyle w:val="Heading2"/>
      </w:pPr>
      <w:r>
        <w:t>Data and training requirements</w:t>
      </w:r>
    </w:p>
    <w:p>
      <w:pPr>
        <w:pStyle w:val="ListBullet"/>
      </w:pPr>
      <w:r>
        <w:t>Pretraining: acquire diverse licensed text, code and specialist corpora; document public domain determinations; preserve source families; remove duplicates and contamination; review coverage by domain and language.</w:t>
      </w:r>
    </w:p>
    <w:p>
      <w:pPr>
        <w:pStyle w:val="ListBullet"/>
      </w:pPr>
      <w:r>
        <w:t>Post training: compensate instruction writers, preference raters and domain experts under explicit agreements. Maintain rights and labor records for demonstrations, rankings, evaluations and tool traces.</w:t>
      </w:r>
    </w:p>
    <w:p>
      <w:pPr>
        <w:pStyle w:val="ListBullet"/>
      </w:pPr>
      <w:r>
        <w:t>Synthetic data: permit only approved generators and input sources; preserve generation lineage and applicable provider terms. Distillation must have the necessary permissions and cannot cleanse the rights of an unauthorized source.</w:t>
      </w:r>
    </w:p>
    <w:p>
      <w:pPr>
        <w:pStyle w:val="ListBullet"/>
      </w:pPr>
      <w:r>
        <w:t>Evaluation: reserve access controlled holdouts before training; check source family overlap and benchmark leakage; include independent, task based assessments and adversarial memorization tests.</w:t>
      </w:r>
    </w:p>
    <w:p>
      <w:pPr>
        <w:pStyle w:val="Heading2"/>
      </w:pPr>
      <w:r>
        <w:t>Reproducible scaling</w:t>
      </w:r>
    </w:p>
    <w:p>
      <w:r>
        <w:t>MODEL 02 — Every run records the tokenizer, code, hyperparameters, data mixture, seeds where practical, compute consumption, checkpoints and incident history. Run loss and downstream scaling experiments on rights cleared subsets; stop a larger run if learning curves, stability or cost depart materially from the approved envelope.</w:t>
      </w:r>
    </w:p>
    <w:p>
      <w:r>
        <w:t>Illustrative dense training estimate: using the planning approximation C ≈ 6ND, a 70 billion parameter model trained on 2 trillion tokens requires about 8.4 × 10²³ training FLOPs. At an assumed sustained 250 TFLOP/s per accelerator across 512 accelerators, idealized runtime is about 76 days, or 0.93 million accelerator hours. These are hypothetical engineering inputs, not hardware quotes or a frontier capability forecast.</w:t>
      </w:r>
    </w:p>
    <w:p>
      <w:r>
        <w:t>This estimate excludes failed runs, data preparation, evaluations, post training, idle capacity and serving. The actual proposal must use measured throughput, a purchased data budget and a separately costed research contingency. A 70 billion parameter checkpoint is a research milestone; frontier status requires the competitive evaluation gate in section 9.</w:t>
      </w:r>
    </w:p>
    <w:p>
      <w:pPr>
        <w:pStyle w:val="Heading1"/>
        <w:pageBreakBefore/>
      </w:pPr>
      <w:r>
        <w:t>7 Sovereign deployment and privacy</w:t>
      </w:r>
    </w:p>
    <w:p>
      <w:r>
        <w:t>SOV 01 — Define sovereignty per customer and jurisdiction through an enforceable deployment profile. It includes residency and control, but does not eliminate foreign component dependencies, license obligations or applicable law. Publish the remaining dependencies and exit options.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tcMar>
              <w:top w:w="90" w:type="dxa"/>
              <w:left w:w="90" w:type="dxa"/>
              <w:bottom w:w="90" w:type="dxa"/>
              <w:right w:w="90" w:type="dxa"/>
            </w:tcMar>
            <w:shd w:fill="1F3A4D"/>
          </w:tcPr>
          <w:p>
            <w:pPr>
              <w:spacing w:after="40" w:line="245" w:lineRule="auto"/>
            </w:pPr>
            <w:r>
              <w:rPr>
                <w:b/>
                <w:color w:val="FFFFFF"/>
                <w:sz w:val="19"/>
              </w:rPr>
              <w:t>Control</w:t>
            </w:r>
          </w:p>
        </w:tc>
        <w:tc>
          <w:tcPr>
            <w:tcW w:type="dxa" w:w="7560"/>
            <w:vAlign w:val="center"/>
            <w:tcMar>
              <w:top w:w="90" w:type="dxa"/>
              <w:left w:w="90" w:type="dxa"/>
              <w:bottom w:w="90" w:type="dxa"/>
              <w:right w:w="90" w:type="dxa"/>
            </w:tcMar>
            <w:shd w:fill="1F3A4D"/>
          </w:tcPr>
          <w:p>
            <w:pPr>
              <w:spacing w:after="40" w:line="245" w:lineRule="auto"/>
            </w:pPr>
            <w:r>
              <w:rPr>
                <w:b/>
                <w:color w:val="FFFFFF"/>
                <w:sz w:val="19"/>
              </w:rPr>
              <w:t>Required implementation</w:t>
            </w:r>
          </w:p>
        </w:tc>
      </w:tr>
      <w:tr>
        <w:trPr>
          <w:cantSplit/>
        </w:trPr>
        <w:tc>
          <w:tcPr>
            <w:tcW w:type="dxa" w:w="2376"/>
            <w:vAlign w:val="center"/>
            <w:tcMar>
              <w:top w:w="90" w:type="dxa"/>
              <w:left w:w="90" w:type="dxa"/>
              <w:bottom w:w="90" w:type="dxa"/>
              <w:right w:w="90" w:type="dxa"/>
            </w:tcMar>
            <w:shd w:fill="FFFFFF"/>
          </w:tcPr>
          <w:p>
            <w:pPr>
              <w:spacing w:after="40" w:line="245" w:lineRule="auto"/>
            </w:pPr>
            <w:r>
              <w:rPr>
                <w:sz w:val="19"/>
              </w:rPr>
              <w:t>Data residency</w:t>
            </w:r>
          </w:p>
        </w:tc>
        <w:tc>
          <w:tcPr>
            <w:tcW w:type="dxa" w:w="7560"/>
            <w:vAlign w:val="center"/>
            <w:tcMar>
              <w:top w:w="90" w:type="dxa"/>
              <w:left w:w="90" w:type="dxa"/>
              <w:bottom w:w="90" w:type="dxa"/>
              <w:right w:w="90" w:type="dxa"/>
            </w:tcMar>
            <w:shd w:fill="FFFFFF"/>
          </w:tcPr>
          <w:p>
            <w:pPr>
              <w:spacing w:after="40" w:line="245" w:lineRule="auto"/>
            </w:pPr>
            <w:r>
              <w:rPr>
                <w:sz w:val="19"/>
              </w:rPr>
              <w:t>Keep source material, prompts, embeddings, training caches, logs and backups in approved regions. Identify support access and subprocessors; test prohibited cross region transfers.</w:t>
            </w:r>
          </w:p>
        </w:tc>
      </w:tr>
      <w:tr>
        <w:trPr>
          <w:cantSplit/>
        </w:trPr>
        <w:tc>
          <w:tcPr>
            <w:tcW w:type="dxa" w:w="2376"/>
            <w:vAlign w:val="center"/>
            <w:tcMar>
              <w:top w:w="90" w:type="dxa"/>
              <w:left w:w="90" w:type="dxa"/>
              <w:bottom w:w="90" w:type="dxa"/>
              <w:right w:w="90" w:type="dxa"/>
            </w:tcMar>
            <w:shd w:fill="F1F4F6"/>
          </w:tcPr>
          <w:p>
            <w:pPr>
              <w:spacing w:after="40" w:line="245" w:lineRule="auto"/>
            </w:pPr>
            <w:r>
              <w:rPr>
                <w:sz w:val="19"/>
              </w:rPr>
              <w:t>Keys and administration</w:t>
            </w:r>
          </w:p>
        </w:tc>
        <w:tc>
          <w:tcPr>
            <w:tcW w:type="dxa" w:w="7560"/>
            <w:vAlign w:val="center"/>
            <w:tcMar>
              <w:top w:w="90" w:type="dxa"/>
              <w:left w:w="90" w:type="dxa"/>
              <w:bottom w:w="90" w:type="dxa"/>
              <w:right w:w="90" w:type="dxa"/>
            </w:tcMar>
            <w:shd w:fill="F1F4F6"/>
          </w:tcPr>
          <w:p>
            <w:pPr>
              <w:spacing w:after="40" w:line="245" w:lineRule="auto"/>
            </w:pPr>
            <w:r>
              <w:rPr>
                <w:sz w:val="19"/>
              </w:rPr>
              <w:t>Customer controlled keys where contracted; privileged access approval, hardware backed key custody, short lived credentials and recorded administrator sessions.</w:t>
            </w:r>
          </w:p>
        </w:tc>
      </w:tr>
      <w:tr>
        <w:trPr>
          <w:cantSplit/>
        </w:trPr>
        <w:tc>
          <w:tcPr>
            <w:tcW w:type="dxa" w:w="2376"/>
            <w:vAlign w:val="center"/>
            <w:tcMar>
              <w:top w:w="90" w:type="dxa"/>
              <w:left w:w="90" w:type="dxa"/>
              <w:bottom w:w="90" w:type="dxa"/>
              <w:right w:w="90" w:type="dxa"/>
            </w:tcMar>
            <w:shd w:fill="FFFFFF"/>
          </w:tcPr>
          <w:p>
            <w:pPr>
              <w:spacing w:after="40" w:line="245" w:lineRule="auto"/>
            </w:pPr>
            <w:r>
              <w:rPr>
                <w:sz w:val="19"/>
              </w:rPr>
              <w:t>Model and update control</w:t>
            </w:r>
          </w:p>
        </w:tc>
        <w:tc>
          <w:tcPr>
            <w:tcW w:type="dxa" w:w="7560"/>
            <w:vAlign w:val="center"/>
            <w:tcMar>
              <w:top w:w="90" w:type="dxa"/>
              <w:left w:w="90" w:type="dxa"/>
              <w:bottom w:w="90" w:type="dxa"/>
              <w:right w:w="90" w:type="dxa"/>
            </w:tcMar>
            <w:shd w:fill="FFFFFF"/>
          </w:tcPr>
          <w:p>
            <w:pPr>
              <w:spacing w:after="40" w:line="245" w:lineRule="auto"/>
            </w:pPr>
            <w:r>
              <w:rPr>
                <w:sz w:val="19"/>
              </w:rPr>
              <w:t>Versioned, signed weights and software; a customer approved update window; rollback; no concealed model replacement or remote disable mechanism.</w:t>
            </w:r>
          </w:p>
        </w:tc>
      </w:tr>
      <w:tr>
        <w:trPr>
          <w:cantSplit/>
        </w:trPr>
        <w:tc>
          <w:tcPr>
            <w:tcW w:type="dxa" w:w="2376"/>
            <w:vAlign w:val="center"/>
            <w:tcMar>
              <w:top w:w="90" w:type="dxa"/>
              <w:left w:w="90" w:type="dxa"/>
              <w:bottom w:w="90" w:type="dxa"/>
              <w:right w:w="90" w:type="dxa"/>
            </w:tcMar>
            <w:shd w:fill="F1F4F6"/>
          </w:tcPr>
          <w:p>
            <w:pPr>
              <w:spacing w:after="40" w:line="245" w:lineRule="auto"/>
            </w:pPr>
            <w:r>
              <w:rPr>
                <w:sz w:val="19"/>
              </w:rPr>
              <w:t>Local and isolated operation</w:t>
            </w:r>
          </w:p>
        </w:tc>
        <w:tc>
          <w:tcPr>
            <w:tcW w:type="dxa" w:w="7560"/>
            <w:vAlign w:val="center"/>
            <w:tcMar>
              <w:top w:w="90" w:type="dxa"/>
              <w:left w:w="90" w:type="dxa"/>
              <w:bottom w:w="90" w:type="dxa"/>
              <w:right w:w="90" w:type="dxa"/>
            </w:tcMar>
            <w:shd w:fill="F1F4F6"/>
          </w:tcPr>
          <w:p>
            <w:pPr>
              <w:spacing w:after="40" w:line="245" w:lineRule="auto"/>
            </w:pPr>
            <w:r>
              <w:rPr>
                <w:sz w:val="19"/>
              </w:rPr>
              <w:t>Offer dedicated regional deployments and, when licensed, disconnected installations. Keep inference and accounting operational without a live vendor connection.</w:t>
            </w:r>
          </w:p>
        </w:tc>
      </w:tr>
      <w:tr>
        <w:trPr>
          <w:cantSplit/>
        </w:trPr>
        <w:tc>
          <w:tcPr>
            <w:tcW w:type="dxa" w:w="2376"/>
            <w:vAlign w:val="center"/>
            <w:tcMar>
              <w:top w:w="90" w:type="dxa"/>
              <w:left w:w="90" w:type="dxa"/>
              <w:bottom w:w="90" w:type="dxa"/>
              <w:right w:w="90" w:type="dxa"/>
            </w:tcMar>
            <w:shd w:fill="FFFFFF"/>
          </w:tcPr>
          <w:p>
            <w:pPr>
              <w:spacing w:after="40" w:line="245" w:lineRule="auto"/>
            </w:pPr>
            <w:r>
              <w:rPr>
                <w:sz w:val="19"/>
              </w:rPr>
              <w:t>Portability and continuity</w:t>
            </w:r>
          </w:p>
        </w:tc>
        <w:tc>
          <w:tcPr>
            <w:tcW w:type="dxa" w:w="7560"/>
            <w:vAlign w:val="center"/>
            <w:tcMar>
              <w:top w:w="90" w:type="dxa"/>
              <w:left w:w="90" w:type="dxa"/>
              <w:bottom w:w="90" w:type="dxa"/>
              <w:right w:w="90" w:type="dxa"/>
            </w:tcMar>
            <w:shd w:fill="FFFFFF"/>
          </w:tcPr>
          <w:p>
            <w:pPr>
              <w:spacing w:after="40" w:line="245" w:lineRule="auto"/>
            </w:pPr>
            <w:r>
              <w:rPr>
                <w:sz w:val="19"/>
              </w:rPr>
              <w:t>Export customer data, receipts, approved adapters and settlement records in documented formats. Define escrow or continuity access for critical deployments and vendor failure.</w:t>
            </w:r>
          </w:p>
        </w:tc>
      </w:tr>
      <w:tr>
        <w:trPr>
          <w:cantSplit/>
        </w:trPr>
        <w:tc>
          <w:tcPr>
            <w:tcW w:type="dxa" w:w="2376"/>
            <w:vAlign w:val="center"/>
            <w:tcMar>
              <w:top w:w="90" w:type="dxa"/>
              <w:left w:w="90" w:type="dxa"/>
              <w:bottom w:w="90" w:type="dxa"/>
              <w:right w:w="90" w:type="dxa"/>
            </w:tcMar>
            <w:shd w:fill="F1F4F6"/>
          </w:tcPr>
          <w:p>
            <w:pPr>
              <w:spacing w:after="40" w:line="245" w:lineRule="auto"/>
            </w:pPr>
            <w:r>
              <w:rPr>
                <w:sz w:val="19"/>
              </w:rPr>
              <w:t>Transparent dependencies</w:t>
            </w:r>
          </w:p>
        </w:tc>
        <w:tc>
          <w:tcPr>
            <w:tcW w:type="dxa" w:w="7560"/>
            <w:vAlign w:val="center"/>
            <w:tcMar>
              <w:top w:w="90" w:type="dxa"/>
              <w:left w:w="90" w:type="dxa"/>
              <w:bottom w:w="90" w:type="dxa"/>
              <w:right w:w="90" w:type="dxa"/>
            </w:tcMar>
            <w:shd w:fill="F1F4F6"/>
          </w:tcPr>
          <w:p>
            <w:pPr>
              <w:spacing w:after="40" w:line="245" w:lineRule="auto"/>
            </w:pPr>
            <w:r>
              <w:rPr>
                <w:sz w:val="19"/>
              </w:rPr>
              <w:t>Inventory accelerators, libraries, base models, hosting and data licenses. Separate owned assets, third party dependencies and customer controlled components.</w:t>
            </w:r>
          </w:p>
        </w:tc>
      </w:tr>
    </w:tbl>
    <w:p/>
    <w:p>
      <w:pPr>
        <w:pStyle w:val="Heading2"/>
      </w:pPr>
      <w:r>
        <w:t>Privacy and knowledge boundaries</w:t>
      </w:r>
    </w:p>
    <w:p>
      <w:r>
        <w:t>PRIVACY 01 — Default to no shared training on customer conversations and no sale of raw prompts. Accept contributions through an explicit action with a preview of the material, purpose, retention and compensation terms. Separate task processing from contribution enrollment.</w:t>
      </w:r>
    </w:p>
    <w:p>
      <w:r>
        <w:t>Tenant specific retrieval and adapters remain isolated. No global retrieval index may expose private documents through citations or similarity lookup. Logs should contain only the minimum information needed for security, billing and auditable rights use. Contributor statements aggregate paid activity rather than revealing customer identities or confidential questions.</w:t>
      </w:r>
    </w:p>
    <w:p>
      <w:pPr>
        <w:pStyle w:val="Heading2"/>
      </w:pPr>
      <w:r>
        <w:t>Revocation and deletion</w:t>
      </w:r>
    </w:p>
    <w:p>
      <w:r>
        <w:t>SOV 02 — Revocation stops future uses according to the contract and applicable law. For searchable indexes and caches, propagate the change and verify deletion against a documented service target. For weights, identify affected checkpoints and the agreed remedy: future training exclusion, retraining, validated unlearning or retirement.</w:t>
      </w:r>
    </w:p>
    <w:p>
      <w:r>
        <w:t>Removing a source from storage is not proof that its influence has disappeared from trained weights. Do not promise universal retroactive unlearning. Contracts must explain existing checkpoint rights before admission; where continued use is unauthorized, retire the affected deployment or complete and verify an adequate remedy. Preserve lawful payment and dispute evidence under a limited retention schedule.</w:t>
      </w:r>
    </w:p>
    <w:p>
      <w:r>
        <w:t>For disconnected deployments, use signed local usage logs and periodic reconciliations. If a customer cannot provide trustworthy usage evidence, negotiate a fixed deployment license rather than claiming precise per use royalties.</w:t>
      </w:r>
    </w:p>
    <w:p>
      <w:pPr>
        <w:pStyle w:val="Heading1"/>
        <w:pageBreakBefore/>
      </w:pPr>
      <w:r>
        <w:t>8 Frontier safety and laboratory governance</w:t>
      </w:r>
    </w:p>
    <w:p>
      <w:pPr>
        <w:pStyle w:val="Heading2"/>
      </w:pPr>
      <w:r>
        <w:t>Independent release authority</w:t>
      </w:r>
    </w:p>
    <w:p>
      <w:r>
        <w:t>GOV 01 — Establish a research lead, security lead, rights lead and finance controller, with an independent release committee. Require research, security and rights sign off for each release; a missing sign off blocks deployment. The commercial team cannot waive a rights defect or unresolved critical security finding.</w:t>
      </w:r>
    </w:p>
    <w:p>
      <w:r>
        <w:t>Create a contributor council with elected creator and contributor representation. It reviews allocation changes, complaints, exclusions and audit summaries. The council advises on fairness; independent adjudicators handle individual payment disputes. Publish conflicts of interest and protect confidential evidence.</w:t>
      </w:r>
    </w:p>
    <w:p>
      <w:pPr>
        <w:pStyle w:val="Heading2"/>
      </w:pPr>
      <w:r>
        <w:t>Capability and misuse gates</w:t>
      </w:r>
    </w:p>
    <w:p>
      <w:r>
        <w:t>SAFETY 01 — Evaluate escalating cyber, biological, chemical and autonomous action risks; deception, manipulation, privacy extraction and uncontrolled tool execution; and the security of the training and serving infrastructure. Use qualified evaluators and controlled environments. Release decisions consider capability and access together, with stricter controls for more capable systems.</w:t>
      </w:r>
    </w:p>
    <w:p>
      <w:r>
        <w:t>Before tests, approve scenario definitions, scoring, intervention limits and the threshold for a critical finding. Any observed unauthorized escape, effective restricted data exfiltration, or unresolved severe misuse capability blocks the affected deployment pending mitigation and retest. A favorable average score cannot offset a failed critical scenario.</w:t>
      </w:r>
    </w:p>
    <w:p>
      <w:r>
        <w:t>SAFETY 02 — Begin with restricted APIs and scoped tools. Require explicit customer authorization for external actions, rate and resource limits, sandboxing, identity checks for higher risk services and human control over consequential actions. Open weight release requires a separate assessment of irreversibility, safety, data rights and downstream compensation feasibility.</w:t>
      </w:r>
    </w:p>
    <w:p>
      <w:pPr>
        <w:pStyle w:val="Heading2"/>
      </w:pPr>
      <w:r>
        <w:t>Security and incidents</w:t>
      </w:r>
    </w:p>
    <w:p>
      <w:r>
        <w:t>Protect model weights, source vaults and signing systems with segmented access, least privilege, insider threat controls and tested recovery. Maintain a software inventory, vulnerability reporting channel and rehearsed incident plan. Log changes to rights rules and payment logic with the same rigor as model releases.</w:t>
      </w:r>
    </w:p>
    <w:p>
      <w:r>
        <w:t>SAFETY 03 — Escalate suspected critical compromise to the internal incident lead within one hour. Contain the affected service, preserve evidence and notify customers and authorities under applicable law and contracts. The one hour target is a proposed internal target, not a statement of a universal legal reporting deadline. Resume only after accountable owners approve remediation.</w:t>
      </w:r>
    </w:p>
    <w:p>
      <w:pPr>
        <w:pStyle w:val="Heading2"/>
      </w:pPr>
      <w:r>
        <w:t>Disputes and appeals</w:t>
      </w:r>
    </w:p>
    <w:p>
      <w:r>
        <w:t>Acknowledge claims within five business days, target an initial evidence based determination within 30 calendar days and permit appeal to an independent reviewer. Hold the contested amount without freezing unrelated earnings. Give contributors access to the evidence needed to challenge attribution or allocation, subject to confidentiality protections; offer confidential auditor verification when disclosure is restricted.</w:t>
      </w:r>
    </w:p>
    <w:p>
      <w:r>
        <w:t>Publish annual statistics on admissions, rejection reasons, ownership disputes, corrections, actual royalty distributions, security incidents and evaluation failures. Do not present a transparency report as certification that all infringement or misuse has been eliminated.</w:t>
      </w:r>
    </w:p>
    <w:p>
      <w:pPr>
        <w:pStyle w:val="Heading1"/>
        <w:pageBreakBefore/>
      </w:pPr>
      <w:r>
        <w:t>9 Acceptance tests and release evidence</w:t>
      </w:r>
    </w:p>
    <w:p>
      <w:r>
        <w:t>These are proposed initial release gates. Register the test sets, sample sizes, error definitions and confidence interval method before evaluation. Publish aggregate results and subgroup breakdowns. A rights failure cannot be traded against better model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6840"/>
        <w:gridCol w:w="1584"/>
      </w:tblGrid>
      <w:tr>
        <w:trPr>
          <w:cantSplit/>
          <w:tblHeader/>
        </w:trPr>
        <w:tc>
          <w:tcPr>
            <w:tcW w:type="dxa" w:w="1512"/>
            <w:vAlign w:val="center"/>
            <w:tcMar>
              <w:top w:w="90" w:type="dxa"/>
              <w:left w:w="90" w:type="dxa"/>
              <w:bottom w:w="90" w:type="dxa"/>
              <w:right w:w="90" w:type="dxa"/>
            </w:tcMar>
            <w:shd w:fill="1F3A4D"/>
          </w:tcPr>
          <w:p>
            <w:pPr>
              <w:spacing w:after="40" w:line="245" w:lineRule="auto"/>
            </w:pPr>
            <w:r>
              <w:rPr>
                <w:b/>
                <w:color w:val="FFFFFF"/>
                <w:sz w:val="19"/>
              </w:rPr>
              <w:t>Gate</w:t>
            </w:r>
          </w:p>
        </w:tc>
        <w:tc>
          <w:tcPr>
            <w:tcW w:type="dxa" w:w="6840"/>
            <w:vAlign w:val="center"/>
            <w:tcMar>
              <w:top w:w="90" w:type="dxa"/>
              <w:left w:w="90" w:type="dxa"/>
              <w:bottom w:w="90" w:type="dxa"/>
              <w:right w:w="90" w:type="dxa"/>
            </w:tcMar>
            <w:shd w:fill="1F3A4D"/>
          </w:tcPr>
          <w:p>
            <w:pPr>
              <w:spacing w:after="40" w:line="245" w:lineRule="auto"/>
            </w:pPr>
            <w:r>
              <w:rPr>
                <w:b/>
                <w:color w:val="FFFFFF"/>
                <w:sz w:val="19"/>
              </w:rPr>
              <w:t>Acceptance criterion</w:t>
            </w:r>
          </w:p>
        </w:tc>
        <w:tc>
          <w:tcPr>
            <w:tcW w:type="dxa" w:w="1584"/>
            <w:vAlign w:val="center"/>
            <w:tcMar>
              <w:top w:w="90" w:type="dxa"/>
              <w:left w:w="90" w:type="dxa"/>
              <w:bottom w:w="90" w:type="dxa"/>
              <w:right w:w="90" w:type="dxa"/>
            </w:tcMar>
            <w:shd w:fill="1F3A4D"/>
          </w:tcPr>
          <w:p>
            <w:pPr>
              <w:spacing w:after="40" w:line="245" w:lineRule="auto"/>
            </w:pPr>
            <w:r>
              <w:rPr>
                <w:b/>
                <w:color w:val="FFFFFF"/>
                <w:sz w:val="19"/>
              </w:rPr>
              <w:t>Accountable owner</w:t>
            </w:r>
          </w:p>
        </w:tc>
      </w:tr>
      <w:tr>
        <w:trPr>
          <w:cantSplit/>
        </w:trPr>
        <w:tc>
          <w:tcPr>
            <w:tcW w:type="dxa" w:w="1512"/>
            <w:vAlign w:val="center"/>
            <w:tcMar>
              <w:top w:w="90" w:type="dxa"/>
              <w:left w:w="90" w:type="dxa"/>
              <w:bottom w:w="90" w:type="dxa"/>
              <w:right w:w="90" w:type="dxa"/>
            </w:tcMar>
            <w:shd w:fill="FFFFFF"/>
          </w:tcPr>
          <w:p>
            <w:pPr>
              <w:spacing w:after="40" w:line="245" w:lineRule="auto"/>
            </w:pPr>
            <w:r>
              <w:rPr>
                <w:sz w:val="19"/>
              </w:rPr>
              <w:t>Rights coverage</w:t>
            </w:r>
          </w:p>
        </w:tc>
        <w:tc>
          <w:tcPr>
            <w:tcW w:type="dxa" w:w="6840"/>
            <w:vAlign w:val="center"/>
            <w:tcMar>
              <w:top w:w="90" w:type="dxa"/>
              <w:left w:w="90" w:type="dxa"/>
              <w:bottom w:w="90" w:type="dxa"/>
              <w:right w:w="90" w:type="dxa"/>
            </w:tcMar>
            <w:shd w:fill="FFFFFF"/>
          </w:tcPr>
          <w:p>
            <w:pPr>
              <w:spacing w:after="40" w:line="245" w:lineRule="auto"/>
            </w:pPr>
            <w:r>
              <w:rPr>
                <w:sz w:val="19"/>
              </w:rPr>
              <w:t>100% of admitted training and retrieval assets link to approved use specific grants or documented owned or public domain status; zero unresolved critical defects.</w:t>
            </w:r>
          </w:p>
        </w:tc>
        <w:tc>
          <w:tcPr>
            <w:tcW w:type="dxa" w:w="1584"/>
            <w:vAlign w:val="center"/>
            <w:tcMar>
              <w:top w:w="90" w:type="dxa"/>
              <w:left w:w="90" w:type="dxa"/>
              <w:bottom w:w="90" w:type="dxa"/>
              <w:right w:w="90" w:type="dxa"/>
            </w:tcMar>
            <w:shd w:fill="FFFFFF"/>
          </w:tcPr>
          <w:p>
            <w:pPr>
              <w:spacing w:after="40" w:line="245" w:lineRule="auto"/>
            </w:pPr>
            <w:r>
              <w:rPr>
                <w:sz w:val="19"/>
              </w:rPr>
              <w:t>Rights lead</w:t>
            </w:r>
          </w:p>
        </w:tc>
      </w:tr>
      <w:tr>
        <w:trPr>
          <w:cantSplit/>
        </w:trPr>
        <w:tc>
          <w:tcPr>
            <w:tcW w:type="dxa" w:w="1512"/>
            <w:vAlign w:val="center"/>
            <w:tcMar>
              <w:top w:w="90" w:type="dxa"/>
              <w:left w:w="90" w:type="dxa"/>
              <w:bottom w:w="90" w:type="dxa"/>
              <w:right w:w="90" w:type="dxa"/>
            </w:tcMar>
            <w:shd w:fill="F1F4F6"/>
          </w:tcPr>
          <w:p>
            <w:pPr>
              <w:spacing w:after="40" w:line="245" w:lineRule="auto"/>
            </w:pPr>
            <w:r>
              <w:rPr>
                <w:sz w:val="19"/>
              </w:rPr>
              <w:t>Manifest integrity</w:t>
            </w:r>
          </w:p>
        </w:tc>
        <w:tc>
          <w:tcPr>
            <w:tcW w:type="dxa" w:w="6840"/>
            <w:vAlign w:val="center"/>
            <w:tcMar>
              <w:top w:w="90" w:type="dxa"/>
              <w:left w:w="90" w:type="dxa"/>
              <w:bottom w:w="90" w:type="dxa"/>
              <w:right w:w="90" w:type="dxa"/>
            </w:tcMar>
            <w:shd w:fill="F1F4F6"/>
          </w:tcPr>
          <w:p>
            <w:pPr>
              <w:spacing w:after="40" w:line="245" w:lineRule="auto"/>
            </w:pPr>
            <w:r>
              <w:rPr>
                <w:sz w:val="19"/>
              </w:rPr>
              <w:t>Every tested checkpoint resolves to signed data and code versions. Deliberately missing, expired and mismatched grants block admission and serving.</w:t>
            </w:r>
          </w:p>
        </w:tc>
        <w:tc>
          <w:tcPr>
            <w:tcW w:type="dxa" w:w="1584"/>
            <w:vAlign w:val="center"/>
            <w:tcMar>
              <w:top w:w="90" w:type="dxa"/>
              <w:left w:w="90" w:type="dxa"/>
              <w:bottom w:w="90" w:type="dxa"/>
              <w:right w:w="90" w:type="dxa"/>
            </w:tcMar>
            <w:shd w:fill="F1F4F6"/>
          </w:tcPr>
          <w:p>
            <w:pPr>
              <w:spacing w:after="40" w:line="245" w:lineRule="auto"/>
            </w:pPr>
            <w:r>
              <w:rPr>
                <w:sz w:val="19"/>
              </w:rPr>
              <w:t>Data engineering</w:t>
            </w:r>
          </w:p>
        </w:tc>
      </w:tr>
      <w:tr>
        <w:trPr>
          <w:cantSplit/>
        </w:trPr>
        <w:tc>
          <w:tcPr>
            <w:tcW w:type="dxa" w:w="1512"/>
            <w:vAlign w:val="center"/>
            <w:tcMar>
              <w:top w:w="90" w:type="dxa"/>
              <w:left w:w="90" w:type="dxa"/>
              <w:bottom w:w="90" w:type="dxa"/>
              <w:right w:w="90" w:type="dxa"/>
            </w:tcMar>
            <w:shd w:fill="FFFFFF"/>
          </w:tcPr>
          <w:p>
            <w:pPr>
              <w:spacing w:after="40" w:line="245" w:lineRule="auto"/>
            </w:pPr>
            <w:r>
              <w:rPr>
                <w:sz w:val="19"/>
              </w:rPr>
              <w:t>Attribution</w:t>
            </w:r>
          </w:p>
        </w:tc>
        <w:tc>
          <w:tcPr>
            <w:tcW w:type="dxa" w:w="6840"/>
            <w:vAlign w:val="center"/>
            <w:tcMar>
              <w:top w:w="90" w:type="dxa"/>
              <w:left w:w="90" w:type="dxa"/>
              <w:bottom w:w="90" w:type="dxa"/>
              <w:right w:w="90" w:type="dxa"/>
            </w:tcMar>
            <w:shd w:fill="FFFFFF"/>
          </w:tcPr>
          <w:p>
            <w:pPr>
              <w:spacing w:after="40" w:line="245" w:lineRule="auto"/>
            </w:pPr>
            <w:r>
              <w:rPr>
                <w:sz w:val="19"/>
              </w:rPr>
              <w:t>On at least 1,000 independently reviewed claims, the lower 95% confidence bound on source support precision is at least 95%; report coverage and abstention separately.</w:t>
            </w:r>
          </w:p>
        </w:tc>
        <w:tc>
          <w:tcPr>
            <w:tcW w:type="dxa" w:w="1584"/>
            <w:vAlign w:val="center"/>
            <w:tcMar>
              <w:top w:w="90" w:type="dxa"/>
              <w:left w:w="90" w:type="dxa"/>
              <w:bottom w:w="90" w:type="dxa"/>
              <w:right w:w="90" w:type="dxa"/>
            </w:tcMar>
            <w:shd w:fill="FFFFFF"/>
          </w:tcPr>
          <w:p>
            <w:pPr>
              <w:spacing w:after="40" w:line="245" w:lineRule="auto"/>
            </w:pPr>
            <w:r>
              <w:rPr>
                <w:sz w:val="19"/>
              </w:rPr>
              <w:t>Evaluation lead</w:t>
            </w:r>
          </w:p>
        </w:tc>
      </w:tr>
      <w:tr>
        <w:trPr>
          <w:cantSplit/>
        </w:trPr>
        <w:tc>
          <w:tcPr>
            <w:tcW w:type="dxa" w:w="1512"/>
            <w:vAlign w:val="center"/>
            <w:tcMar>
              <w:top w:w="90" w:type="dxa"/>
              <w:left w:w="90" w:type="dxa"/>
              <w:bottom w:w="90" w:type="dxa"/>
              <w:right w:w="90" w:type="dxa"/>
            </w:tcMar>
            <w:shd w:fill="F1F4F6"/>
          </w:tcPr>
          <w:p>
            <w:pPr>
              <w:spacing w:after="40" w:line="245" w:lineRule="auto"/>
            </w:pPr>
            <w:r>
              <w:rPr>
                <w:sz w:val="19"/>
              </w:rPr>
              <w:t>Memorization</w:t>
            </w:r>
          </w:p>
        </w:tc>
        <w:tc>
          <w:tcPr>
            <w:tcW w:type="dxa" w:w="6840"/>
            <w:vAlign w:val="center"/>
            <w:tcMar>
              <w:top w:w="90" w:type="dxa"/>
              <w:left w:w="90" w:type="dxa"/>
              <w:bottom w:w="90" w:type="dxa"/>
              <w:right w:w="90" w:type="dxa"/>
            </w:tcMar>
            <w:shd w:fill="F1F4F6"/>
          </w:tcPr>
          <w:p>
            <w:pPr>
              <w:spacing w:after="40" w:line="245" w:lineRule="auto"/>
            </w:pPr>
            <w:r>
              <w:rPr>
                <w:sz w:val="19"/>
              </w:rPr>
              <w:t>Run at least 10,000 adversarial extraction attempts over a stratified licensed corpus; zero unresolved severe unauthorized disclosures; publish observed rates and limitations.</w:t>
            </w:r>
          </w:p>
        </w:tc>
        <w:tc>
          <w:tcPr>
            <w:tcW w:type="dxa" w:w="1584"/>
            <w:vAlign w:val="center"/>
            <w:tcMar>
              <w:top w:w="90" w:type="dxa"/>
              <w:left w:w="90" w:type="dxa"/>
              <w:bottom w:w="90" w:type="dxa"/>
              <w:right w:w="90" w:type="dxa"/>
            </w:tcMar>
            <w:shd w:fill="F1F4F6"/>
          </w:tcPr>
          <w:p>
            <w:pPr>
              <w:spacing w:after="40" w:line="245" w:lineRule="auto"/>
            </w:pPr>
            <w:r>
              <w:rPr>
                <w:sz w:val="19"/>
              </w:rPr>
              <w:t>Security and rights</w:t>
            </w:r>
          </w:p>
        </w:tc>
      </w:tr>
      <w:tr>
        <w:trPr>
          <w:cantSplit/>
        </w:trPr>
        <w:tc>
          <w:tcPr>
            <w:tcW w:type="dxa" w:w="1512"/>
            <w:vAlign w:val="center"/>
            <w:tcMar>
              <w:top w:w="90" w:type="dxa"/>
              <w:left w:w="90" w:type="dxa"/>
              <w:bottom w:w="90" w:type="dxa"/>
              <w:right w:w="90" w:type="dxa"/>
            </w:tcMar>
            <w:shd w:fill="FFFFFF"/>
          </w:tcPr>
          <w:p>
            <w:pPr>
              <w:spacing w:after="40" w:line="245" w:lineRule="auto"/>
            </w:pPr>
            <w:r>
              <w:rPr>
                <w:sz w:val="19"/>
              </w:rPr>
              <w:t>Settlement</w:t>
            </w:r>
          </w:p>
        </w:tc>
        <w:tc>
          <w:tcPr>
            <w:tcW w:type="dxa" w:w="6840"/>
            <w:vAlign w:val="center"/>
            <w:tcMar>
              <w:top w:w="90" w:type="dxa"/>
              <w:left w:w="90" w:type="dxa"/>
              <w:bottom w:w="90" w:type="dxa"/>
              <w:right w:w="90" w:type="dxa"/>
            </w:tcMar>
            <w:shd w:fill="FFFFFF"/>
          </w:tcPr>
          <w:p>
            <w:pPr>
              <w:spacing w:after="40" w:line="245" w:lineRule="auto"/>
            </w:pPr>
            <w:r>
              <w:rPr>
                <w:sz w:val="19"/>
              </w:rPr>
              <w:t>Replay a fixed event set including duplicates, refunds, splits, disputed claims and outages. Recompute every test payout exactly to the smallest currency unit; no double payments.</w:t>
            </w:r>
          </w:p>
        </w:tc>
        <w:tc>
          <w:tcPr>
            <w:tcW w:type="dxa" w:w="1584"/>
            <w:vAlign w:val="center"/>
            <w:tcMar>
              <w:top w:w="90" w:type="dxa"/>
              <w:left w:w="90" w:type="dxa"/>
              <w:bottom w:w="90" w:type="dxa"/>
              <w:right w:w="90" w:type="dxa"/>
            </w:tcMar>
            <w:shd w:fill="FFFFFF"/>
          </w:tcPr>
          <w:p>
            <w:pPr>
              <w:spacing w:after="40" w:line="245" w:lineRule="auto"/>
            </w:pPr>
            <w:r>
              <w:rPr>
                <w:sz w:val="19"/>
              </w:rPr>
              <w:t>Finance controller</w:t>
            </w:r>
          </w:p>
        </w:tc>
      </w:tr>
      <w:tr>
        <w:trPr>
          <w:cantSplit/>
        </w:trPr>
        <w:tc>
          <w:tcPr>
            <w:tcW w:type="dxa" w:w="1512"/>
            <w:vAlign w:val="center"/>
            <w:tcMar>
              <w:top w:w="90" w:type="dxa"/>
              <w:left w:w="90" w:type="dxa"/>
              <w:bottom w:w="90" w:type="dxa"/>
              <w:right w:w="90" w:type="dxa"/>
            </w:tcMar>
            <w:shd w:fill="F1F4F6"/>
          </w:tcPr>
          <w:p>
            <w:pPr>
              <w:spacing w:after="40" w:line="245" w:lineRule="auto"/>
            </w:pPr>
            <w:r>
              <w:rPr>
                <w:sz w:val="19"/>
              </w:rPr>
              <w:t>Consent and revocation</w:t>
            </w:r>
          </w:p>
        </w:tc>
        <w:tc>
          <w:tcPr>
            <w:tcW w:type="dxa" w:w="6840"/>
            <w:vAlign w:val="center"/>
            <w:tcMar>
              <w:top w:w="90" w:type="dxa"/>
              <w:left w:w="90" w:type="dxa"/>
              <w:bottom w:w="90" w:type="dxa"/>
              <w:right w:w="90" w:type="dxa"/>
            </w:tcMar>
            <w:shd w:fill="F1F4F6"/>
          </w:tcPr>
          <w:p>
            <w:pPr>
              <w:spacing w:after="40" w:line="245" w:lineRule="auto"/>
            </w:pPr>
            <w:r>
              <w:rPr>
                <w:sz w:val="19"/>
              </w:rPr>
              <w:t>Opted out and private test records never enter shared manifests. Online index revocations propagate within 24 hours; checkpoint remedies follow signed terms.</w:t>
            </w:r>
          </w:p>
        </w:tc>
        <w:tc>
          <w:tcPr>
            <w:tcW w:type="dxa" w:w="1584"/>
            <w:vAlign w:val="center"/>
            <w:tcMar>
              <w:top w:w="90" w:type="dxa"/>
              <w:left w:w="90" w:type="dxa"/>
              <w:bottom w:w="90" w:type="dxa"/>
              <w:right w:w="90" w:type="dxa"/>
            </w:tcMar>
            <w:shd w:fill="F1F4F6"/>
          </w:tcPr>
          <w:p>
            <w:pPr>
              <w:spacing w:after="40" w:line="245" w:lineRule="auto"/>
            </w:pPr>
            <w:r>
              <w:rPr>
                <w:sz w:val="19"/>
              </w:rPr>
              <w:t>Privacy lead</w:t>
            </w:r>
          </w:p>
        </w:tc>
      </w:tr>
      <w:tr>
        <w:trPr>
          <w:cantSplit/>
        </w:trPr>
        <w:tc>
          <w:tcPr>
            <w:tcW w:type="dxa" w:w="1512"/>
            <w:vAlign w:val="center"/>
            <w:tcMar>
              <w:top w:w="90" w:type="dxa"/>
              <w:left w:w="90" w:type="dxa"/>
              <w:bottom w:w="90" w:type="dxa"/>
              <w:right w:w="90" w:type="dxa"/>
            </w:tcMar>
            <w:shd w:fill="FFFFFF"/>
          </w:tcPr>
          <w:p>
            <w:pPr>
              <w:spacing w:after="40" w:line="245" w:lineRule="auto"/>
            </w:pPr>
            <w:r>
              <w:rPr>
                <w:sz w:val="19"/>
              </w:rPr>
              <w:t>Sovereignty</w:t>
            </w:r>
          </w:p>
        </w:tc>
        <w:tc>
          <w:tcPr>
            <w:tcW w:type="dxa" w:w="6840"/>
            <w:vAlign w:val="center"/>
            <w:tcMar>
              <w:top w:w="90" w:type="dxa"/>
              <w:left w:w="90" w:type="dxa"/>
              <w:bottom w:w="90" w:type="dxa"/>
              <w:right w:w="90" w:type="dxa"/>
            </w:tcMar>
            <w:shd w:fill="FFFFFF"/>
          </w:tcPr>
          <w:p>
            <w:pPr>
              <w:spacing w:after="40" w:line="245" w:lineRule="auto"/>
            </w:pPr>
            <w:r>
              <w:rPr>
                <w:sz w:val="19"/>
              </w:rPr>
              <w:t>No unauthorized regional or tenant transfer in access and egress tests. Demonstrate key rotation, disconnected operation where offered, recovery and customer approved rollback.</w:t>
            </w:r>
          </w:p>
        </w:tc>
        <w:tc>
          <w:tcPr>
            <w:tcW w:type="dxa" w:w="1584"/>
            <w:vAlign w:val="center"/>
            <w:tcMar>
              <w:top w:w="90" w:type="dxa"/>
              <w:left w:w="90" w:type="dxa"/>
              <w:bottom w:w="90" w:type="dxa"/>
              <w:right w:w="90" w:type="dxa"/>
            </w:tcMar>
            <w:shd w:fill="FFFFFF"/>
          </w:tcPr>
          <w:p>
            <w:pPr>
              <w:spacing w:after="40" w:line="245" w:lineRule="auto"/>
            </w:pPr>
            <w:r>
              <w:rPr>
                <w:sz w:val="19"/>
              </w:rPr>
              <w:t>Security lead</w:t>
            </w:r>
          </w:p>
        </w:tc>
      </w:tr>
      <w:tr>
        <w:trPr>
          <w:cantSplit/>
        </w:trPr>
        <w:tc>
          <w:tcPr>
            <w:tcW w:type="dxa" w:w="1512"/>
            <w:vAlign w:val="center"/>
            <w:tcMar>
              <w:top w:w="90" w:type="dxa"/>
              <w:left w:w="90" w:type="dxa"/>
              <w:bottom w:w="90" w:type="dxa"/>
              <w:right w:w="90" w:type="dxa"/>
            </w:tcMar>
            <w:shd w:fill="F1F4F6"/>
          </w:tcPr>
          <w:p>
            <w:pPr>
              <w:spacing w:after="40" w:line="245" w:lineRule="auto"/>
            </w:pPr>
            <w:r>
              <w:rPr>
                <w:sz w:val="19"/>
              </w:rPr>
              <w:t>Capability</w:t>
            </w:r>
          </w:p>
        </w:tc>
        <w:tc>
          <w:tcPr>
            <w:tcW w:type="dxa" w:w="6840"/>
            <w:vAlign w:val="center"/>
            <w:tcMar>
              <w:top w:w="90" w:type="dxa"/>
              <w:left w:w="90" w:type="dxa"/>
              <w:bottom w:w="90" w:type="dxa"/>
              <w:right w:w="90" w:type="dxa"/>
            </w:tcMar>
            <w:shd w:fill="F1F4F6"/>
          </w:tcPr>
          <w:p>
            <w:pPr>
              <w:spacing w:after="40" w:line="245" w:lineRule="auto"/>
            </w:pPr>
            <w:r>
              <w:rPr>
                <w:sz w:val="19"/>
              </w:rPr>
              <w:t>Select three leading general purpose comparison models at evaluation start. Match their median aggregate on the frozen task suite, with no priority domain more than 10% relatively below its comparison median.</w:t>
            </w:r>
          </w:p>
        </w:tc>
        <w:tc>
          <w:tcPr>
            <w:tcW w:type="dxa" w:w="1584"/>
            <w:vAlign w:val="center"/>
            <w:tcMar>
              <w:top w:w="90" w:type="dxa"/>
              <w:left w:w="90" w:type="dxa"/>
              <w:bottom w:w="90" w:type="dxa"/>
              <w:right w:w="90" w:type="dxa"/>
            </w:tcMar>
            <w:shd w:fill="F1F4F6"/>
          </w:tcPr>
          <w:p>
            <w:pPr>
              <w:spacing w:after="40" w:line="245" w:lineRule="auto"/>
            </w:pPr>
            <w:r>
              <w:rPr>
                <w:sz w:val="19"/>
              </w:rPr>
              <w:t>Research lead</w:t>
            </w:r>
          </w:p>
        </w:tc>
      </w:tr>
      <w:tr>
        <w:trPr>
          <w:cantSplit/>
        </w:trPr>
        <w:tc>
          <w:tcPr>
            <w:tcW w:type="dxa" w:w="1512"/>
            <w:vAlign w:val="center"/>
            <w:tcMar>
              <w:top w:w="90" w:type="dxa"/>
              <w:left w:w="90" w:type="dxa"/>
              <w:bottom w:w="90" w:type="dxa"/>
              <w:right w:w="90" w:type="dxa"/>
            </w:tcMar>
            <w:shd w:fill="FFFFFF"/>
          </w:tcPr>
          <w:p>
            <w:pPr>
              <w:spacing w:after="40" w:line="245" w:lineRule="auto"/>
            </w:pPr>
            <w:r>
              <w:rPr>
                <w:sz w:val="19"/>
              </w:rPr>
              <w:t>Frontier safety</w:t>
            </w:r>
          </w:p>
        </w:tc>
        <w:tc>
          <w:tcPr>
            <w:tcW w:type="dxa" w:w="6840"/>
            <w:vAlign w:val="center"/>
            <w:tcMar>
              <w:top w:w="90" w:type="dxa"/>
              <w:left w:w="90" w:type="dxa"/>
              <w:bottom w:w="90" w:type="dxa"/>
              <w:right w:w="90" w:type="dxa"/>
            </w:tcMar>
            <w:shd w:fill="FFFFFF"/>
          </w:tcPr>
          <w:p>
            <w:pPr>
              <w:spacing w:after="40" w:line="245" w:lineRule="auto"/>
            </w:pPr>
            <w:r>
              <w:rPr>
                <w:sz w:val="19"/>
              </w:rPr>
              <w:t>No unresolved critical scenario failures. Independent assessors review high capability risks and verify that deployment controls match observed capability.</w:t>
            </w:r>
          </w:p>
        </w:tc>
        <w:tc>
          <w:tcPr>
            <w:tcW w:type="dxa" w:w="1584"/>
            <w:vAlign w:val="center"/>
            <w:tcMar>
              <w:top w:w="90" w:type="dxa"/>
              <w:left w:w="90" w:type="dxa"/>
              <w:bottom w:w="90" w:type="dxa"/>
              <w:right w:w="90" w:type="dxa"/>
            </w:tcMar>
            <w:shd w:fill="FFFFFF"/>
          </w:tcPr>
          <w:p>
            <w:pPr>
              <w:spacing w:after="40" w:line="245" w:lineRule="auto"/>
            </w:pPr>
            <w:r>
              <w:rPr>
                <w:sz w:val="19"/>
              </w:rPr>
              <w:t>Release committee</w:t>
            </w:r>
          </w:p>
        </w:tc>
      </w:tr>
    </w:tbl>
    <w:p/>
    <w:p>
      <w:pPr>
        <w:pStyle w:val="Heading2"/>
      </w:pPr>
      <w:r>
        <w:t>Evidence and reporting</w:t>
      </w:r>
    </w:p>
    <w:p>
      <w:r>
        <w:t>For capability, use a balanced suite of reasoning, coding, research synthesis, long document use and tool tasks. Predefine weights and comparable cost, latency and tool conditions; normalize scores before aggregation. Report uncertainty, contamination checks and an independent replication. Passing this gate supports the project’s defined competitive claim, not proof of general superintelligence.</w:t>
      </w:r>
    </w:p>
    <w:p>
      <w:r>
        <w:t>For operational readiness, demonstrate a 30 day pilot with 99.5% availability under declared load, no unexplained settlement differences and a tested restoration procedure. Publish latency, cost per completed task, rights processing overhead and payment concentration rather than optimizing a single headline benchmark.</w:t>
      </w:r>
    </w:p>
    <w:p>
      <w:r>
        <w:t>The release evidence packet MUST contain a model card, data provenance summary, license exceptions, safety evaluations, security findings, rights and privacy assessments, contributor accounting reconciliation, deployment dependencies and signed release decision. Close the gate with explicit limitations and a versioned retest schedule.</w:t>
      </w:r>
    </w:p>
    <w:p>
      <w:pPr>
        <w:pStyle w:val="Heading1"/>
        <w:pageBreakBefore/>
      </w:pPr>
      <w:r>
        <w:t>10 Delivery plan and laboratory resources</w:t>
      </w:r>
    </w:p>
    <w:p>
      <w:r>
        <w:t>The schedule is conditional on funding, licensed data supply and hiring. Each phase ends with evidence that supports the next investment; dates alone do not trigger a larger model or public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800"/>
        <w:gridCol w:w="6264"/>
      </w:tblGrid>
      <w:tr>
        <w:trPr>
          <w:cantSplit/>
          <w:tblHeader/>
        </w:trPr>
        <w:tc>
          <w:tcPr>
            <w:tcW w:type="dxa" w:w="1872"/>
            <w:vAlign w:val="center"/>
            <w:tcMar>
              <w:top w:w="90" w:type="dxa"/>
              <w:left w:w="90" w:type="dxa"/>
              <w:bottom w:w="90" w:type="dxa"/>
              <w:right w:w="90" w:type="dxa"/>
            </w:tcMar>
            <w:shd w:fill="1F3A4D"/>
          </w:tcPr>
          <w:p>
            <w:pPr>
              <w:spacing w:after="40" w:line="245" w:lineRule="auto"/>
            </w:pPr>
            <w:r>
              <w:rPr>
                <w:b/>
                <w:color w:val="FFFFFF"/>
                <w:sz w:val="19"/>
              </w:rPr>
              <w:t>Phase</w:t>
            </w:r>
          </w:p>
        </w:tc>
        <w:tc>
          <w:tcPr>
            <w:tcW w:type="dxa" w:w="1800"/>
            <w:vAlign w:val="center"/>
            <w:tcMar>
              <w:top w:w="90" w:type="dxa"/>
              <w:left w:w="90" w:type="dxa"/>
              <w:bottom w:w="90" w:type="dxa"/>
              <w:right w:w="90" w:type="dxa"/>
            </w:tcMar>
            <w:shd w:fill="1F3A4D"/>
          </w:tcPr>
          <w:p>
            <w:pPr>
              <w:spacing w:after="40" w:line="245" w:lineRule="auto"/>
            </w:pPr>
            <w:r>
              <w:rPr>
                <w:b/>
                <w:color w:val="FFFFFF"/>
                <w:sz w:val="19"/>
              </w:rPr>
              <w:t>Illustrative timing</w:t>
            </w:r>
          </w:p>
        </w:tc>
        <w:tc>
          <w:tcPr>
            <w:tcW w:type="dxa" w:w="6264"/>
            <w:vAlign w:val="center"/>
            <w:tcMar>
              <w:top w:w="90" w:type="dxa"/>
              <w:left w:w="90" w:type="dxa"/>
              <w:bottom w:w="90" w:type="dxa"/>
              <w:right w:w="90" w:type="dxa"/>
            </w:tcMar>
            <w:shd w:fill="1F3A4D"/>
          </w:tcPr>
          <w:p>
            <w:pPr>
              <w:spacing w:after="40" w:line="245" w:lineRule="auto"/>
            </w:pPr>
            <w:r>
              <w:rPr>
                <w:b/>
                <w:color w:val="FFFFFF"/>
                <w:sz w:val="19"/>
              </w:rPr>
              <w:t>Exit evidence</w:t>
            </w:r>
          </w:p>
        </w:tc>
      </w:tr>
      <w:tr>
        <w:trPr>
          <w:cantSplit/>
        </w:trPr>
        <w:tc>
          <w:tcPr>
            <w:tcW w:type="dxa" w:w="1872"/>
            <w:vAlign w:val="center"/>
            <w:tcMar>
              <w:top w:w="90" w:type="dxa"/>
              <w:left w:w="90" w:type="dxa"/>
              <w:bottom w:w="90" w:type="dxa"/>
              <w:right w:w="90" w:type="dxa"/>
            </w:tcMar>
            <w:shd w:fill="FFFFFF"/>
          </w:tcPr>
          <w:p>
            <w:pPr>
              <w:spacing w:after="40" w:line="245" w:lineRule="auto"/>
            </w:pPr>
            <w:r>
              <w:rPr>
                <w:sz w:val="19"/>
              </w:rPr>
              <w:t>Foundation</w:t>
            </w:r>
          </w:p>
        </w:tc>
        <w:tc>
          <w:tcPr>
            <w:tcW w:type="dxa" w:w="1800"/>
            <w:vAlign w:val="center"/>
            <w:tcMar>
              <w:top w:w="90" w:type="dxa"/>
              <w:left w:w="90" w:type="dxa"/>
              <w:bottom w:w="90" w:type="dxa"/>
              <w:right w:w="90" w:type="dxa"/>
            </w:tcMar>
            <w:shd w:fill="FFFFFF"/>
          </w:tcPr>
          <w:p>
            <w:pPr>
              <w:spacing w:after="40" w:line="245" w:lineRule="auto"/>
            </w:pPr>
            <w:r>
              <w:rPr>
                <w:sz w:val="19"/>
              </w:rPr>
              <w:t>Months 0 to 3</w:t>
            </w:r>
          </w:p>
        </w:tc>
        <w:tc>
          <w:tcPr>
            <w:tcW w:type="dxa" w:w="6264"/>
            <w:vAlign w:val="center"/>
            <w:tcMar>
              <w:top w:w="90" w:type="dxa"/>
              <w:left w:w="90" w:type="dxa"/>
              <w:bottom w:w="90" w:type="dxa"/>
              <w:right w:w="90" w:type="dxa"/>
            </w:tcMar>
            <w:shd w:fill="FFFFFF"/>
          </w:tcPr>
          <w:p>
            <w:pPr>
              <w:spacing w:after="40" w:line="245" w:lineRule="auto"/>
            </w:pPr>
            <w:r>
              <w:rPr>
                <w:sz w:val="19"/>
              </w:rPr>
              <w:t>Approve charter, contributor terms, revenue definition, initial licenses and sovereign profile. Build rights registry and ledger with a complete settlement test.</w:t>
            </w:r>
          </w:p>
        </w:tc>
      </w:tr>
      <w:tr>
        <w:trPr>
          <w:cantSplit/>
        </w:trPr>
        <w:tc>
          <w:tcPr>
            <w:tcW w:type="dxa" w:w="1872"/>
            <w:vAlign w:val="center"/>
            <w:tcMar>
              <w:top w:w="90" w:type="dxa"/>
              <w:left w:w="90" w:type="dxa"/>
              <w:bottom w:w="90" w:type="dxa"/>
              <w:right w:w="90" w:type="dxa"/>
            </w:tcMar>
            <w:shd w:fill="F1F4F6"/>
          </w:tcPr>
          <w:p>
            <w:pPr>
              <w:spacing w:after="40" w:line="245" w:lineRule="auto"/>
            </w:pPr>
            <w:r>
              <w:rPr>
                <w:sz w:val="19"/>
              </w:rPr>
              <w:t>Paid pilot</w:t>
            </w:r>
          </w:p>
        </w:tc>
        <w:tc>
          <w:tcPr>
            <w:tcW w:type="dxa" w:w="1800"/>
            <w:vAlign w:val="center"/>
            <w:tcMar>
              <w:top w:w="90" w:type="dxa"/>
              <w:left w:w="90" w:type="dxa"/>
              <w:bottom w:w="90" w:type="dxa"/>
              <w:right w:w="90" w:type="dxa"/>
            </w:tcMar>
            <w:shd w:fill="F1F4F6"/>
          </w:tcPr>
          <w:p>
            <w:pPr>
              <w:spacing w:after="40" w:line="245" w:lineRule="auto"/>
            </w:pPr>
            <w:r>
              <w:rPr>
                <w:sz w:val="19"/>
              </w:rPr>
              <w:t>Months 3 to 6</w:t>
            </w:r>
          </w:p>
        </w:tc>
        <w:tc>
          <w:tcPr>
            <w:tcW w:type="dxa" w:w="6264"/>
            <w:vAlign w:val="center"/>
            <w:tcMar>
              <w:top w:w="90" w:type="dxa"/>
              <w:left w:w="90" w:type="dxa"/>
              <w:bottom w:w="90" w:type="dxa"/>
              <w:right w:w="90" w:type="dxa"/>
            </w:tcMar>
            <w:shd w:fill="F1F4F6"/>
          </w:tcPr>
          <w:p>
            <w:pPr>
              <w:spacing w:after="40" w:line="245" w:lineRule="auto"/>
            </w:pPr>
            <w:r>
              <w:rPr>
                <w:sz w:val="19"/>
              </w:rPr>
              <w:t>Launch restricted research assistant on a licensed corpus; issue source receipts and real contributor payouts; complete one independent reconciliation.</w:t>
            </w:r>
          </w:p>
        </w:tc>
      </w:tr>
      <w:tr>
        <w:trPr>
          <w:cantSplit/>
        </w:trPr>
        <w:tc>
          <w:tcPr>
            <w:tcW w:type="dxa" w:w="1872"/>
            <w:vAlign w:val="center"/>
            <w:tcMar>
              <w:top w:w="90" w:type="dxa"/>
              <w:left w:w="90" w:type="dxa"/>
              <w:bottom w:w="90" w:type="dxa"/>
              <w:right w:w="90" w:type="dxa"/>
            </w:tcMar>
            <w:shd w:fill="FFFFFF"/>
          </w:tcPr>
          <w:p>
            <w:pPr>
              <w:spacing w:after="40" w:line="245" w:lineRule="auto"/>
            </w:pPr>
            <w:r>
              <w:rPr>
                <w:sz w:val="19"/>
              </w:rPr>
              <w:t>Owned model</w:t>
            </w:r>
          </w:p>
        </w:tc>
        <w:tc>
          <w:tcPr>
            <w:tcW w:type="dxa" w:w="1800"/>
            <w:vAlign w:val="center"/>
            <w:tcMar>
              <w:top w:w="90" w:type="dxa"/>
              <w:left w:w="90" w:type="dxa"/>
              <w:bottom w:w="90" w:type="dxa"/>
              <w:right w:w="90" w:type="dxa"/>
            </w:tcMar>
            <w:shd w:fill="FFFFFF"/>
          </w:tcPr>
          <w:p>
            <w:pPr>
              <w:spacing w:after="40" w:line="245" w:lineRule="auto"/>
            </w:pPr>
            <w:r>
              <w:rPr>
                <w:sz w:val="19"/>
              </w:rPr>
              <w:t>Months 6 to 12</w:t>
            </w:r>
          </w:p>
        </w:tc>
        <w:tc>
          <w:tcPr>
            <w:tcW w:type="dxa" w:w="6264"/>
            <w:vAlign w:val="center"/>
            <w:tcMar>
              <w:top w:w="90" w:type="dxa"/>
              <w:left w:w="90" w:type="dxa"/>
              <w:bottom w:w="90" w:type="dxa"/>
              <w:right w:w="90" w:type="dxa"/>
            </w:tcMar>
            <w:shd w:fill="FFFFFF"/>
          </w:tcPr>
          <w:p>
            <w:pPr>
              <w:spacing w:after="40" w:line="245" w:lineRule="auto"/>
            </w:pPr>
            <w:r>
              <w:rPr>
                <w:sz w:val="19"/>
              </w:rPr>
              <w:t>Train and evaluate an auditable 7 to 14 billion parameter model; reproduce data lineage and run extraction, privacy and utility tests.</w:t>
            </w:r>
          </w:p>
        </w:tc>
      </w:tr>
      <w:tr>
        <w:trPr>
          <w:cantSplit/>
        </w:trPr>
        <w:tc>
          <w:tcPr>
            <w:tcW w:type="dxa" w:w="1872"/>
            <w:vAlign w:val="center"/>
            <w:tcMar>
              <w:top w:w="90" w:type="dxa"/>
              <w:left w:w="90" w:type="dxa"/>
              <w:bottom w:w="90" w:type="dxa"/>
              <w:right w:w="90" w:type="dxa"/>
            </w:tcMar>
            <w:shd w:fill="F1F4F6"/>
          </w:tcPr>
          <w:p>
            <w:pPr>
              <w:spacing w:after="40" w:line="245" w:lineRule="auto"/>
            </w:pPr>
            <w:r>
              <w:rPr>
                <w:sz w:val="19"/>
              </w:rPr>
              <w:t>Scale decision</w:t>
            </w:r>
          </w:p>
        </w:tc>
        <w:tc>
          <w:tcPr>
            <w:tcW w:type="dxa" w:w="1800"/>
            <w:vAlign w:val="center"/>
            <w:tcMar>
              <w:top w:w="90" w:type="dxa"/>
              <w:left w:w="90" w:type="dxa"/>
              <w:bottom w:w="90" w:type="dxa"/>
              <w:right w:w="90" w:type="dxa"/>
            </w:tcMar>
            <w:shd w:fill="F1F4F6"/>
          </w:tcPr>
          <w:p>
            <w:pPr>
              <w:spacing w:after="40" w:line="245" w:lineRule="auto"/>
            </w:pPr>
            <w:r>
              <w:rPr>
                <w:sz w:val="19"/>
              </w:rPr>
              <w:t>Months 12 to 24</w:t>
            </w:r>
          </w:p>
        </w:tc>
        <w:tc>
          <w:tcPr>
            <w:tcW w:type="dxa" w:w="6264"/>
            <w:vAlign w:val="center"/>
            <w:tcMar>
              <w:top w:w="90" w:type="dxa"/>
              <w:left w:w="90" w:type="dxa"/>
              <w:bottom w:w="90" w:type="dxa"/>
              <w:right w:w="90" w:type="dxa"/>
            </w:tcMar>
            <w:shd w:fill="F1F4F6"/>
          </w:tcPr>
          <w:p>
            <w:pPr>
              <w:spacing w:after="40" w:line="245" w:lineRule="auto"/>
            </w:pPr>
            <w:r>
              <w:rPr>
                <w:sz w:val="19"/>
              </w:rPr>
              <w:t>Obtain data and compute contracts; validate scaling and economics; train larger candidates only if quality, cost, security and rights gates hold.</w:t>
            </w:r>
          </w:p>
        </w:tc>
      </w:tr>
      <w:tr>
        <w:trPr>
          <w:cantSplit/>
        </w:trPr>
        <w:tc>
          <w:tcPr>
            <w:tcW w:type="dxa" w:w="1872"/>
            <w:vAlign w:val="center"/>
            <w:tcMar>
              <w:top w:w="90" w:type="dxa"/>
              <w:left w:w="90" w:type="dxa"/>
              <w:bottom w:w="90" w:type="dxa"/>
              <w:right w:w="90" w:type="dxa"/>
            </w:tcMar>
            <w:shd w:fill="FFFFFF"/>
          </w:tcPr>
          <w:p>
            <w:pPr>
              <w:spacing w:after="40" w:line="245" w:lineRule="auto"/>
            </w:pPr>
            <w:r>
              <w:rPr>
                <w:sz w:val="19"/>
              </w:rPr>
              <w:t>Frontier candidate</w:t>
            </w:r>
          </w:p>
        </w:tc>
        <w:tc>
          <w:tcPr>
            <w:tcW w:type="dxa" w:w="1800"/>
            <w:vAlign w:val="center"/>
            <w:tcMar>
              <w:top w:w="90" w:type="dxa"/>
              <w:left w:w="90" w:type="dxa"/>
              <w:bottom w:w="90" w:type="dxa"/>
              <w:right w:w="90" w:type="dxa"/>
            </w:tcMar>
            <w:shd w:fill="FFFFFF"/>
          </w:tcPr>
          <w:p>
            <w:pPr>
              <w:spacing w:after="40" w:line="245" w:lineRule="auto"/>
            </w:pPr>
            <w:r>
              <w:rPr>
                <w:sz w:val="19"/>
              </w:rPr>
              <w:t>Months 24 onward</w:t>
            </w:r>
          </w:p>
        </w:tc>
        <w:tc>
          <w:tcPr>
            <w:tcW w:type="dxa" w:w="6264"/>
            <w:vAlign w:val="center"/>
            <w:tcMar>
              <w:top w:w="90" w:type="dxa"/>
              <w:left w:w="90" w:type="dxa"/>
              <w:bottom w:w="90" w:type="dxa"/>
              <w:right w:w="90" w:type="dxa"/>
            </w:tcMar>
            <w:shd w:fill="FFFFFF"/>
          </w:tcPr>
          <w:p>
            <w:pPr>
              <w:spacing w:after="40" w:line="245" w:lineRule="auto"/>
            </w:pPr>
            <w:r>
              <w:rPr>
                <w:sz w:val="19"/>
              </w:rPr>
              <w:t>Independent competitive evaluation and release review. Permit a frontier claim only if the specified evidence supports it.</w:t>
            </w:r>
          </w:p>
        </w:tc>
      </w:tr>
    </w:tbl>
    <w:p/>
    <w:p>
      <w:pPr>
        <w:pStyle w:val="Heading2"/>
      </w:pPr>
      <w:r>
        <w:t>Initial team and work ownership</w:t>
      </w:r>
    </w:p>
    <w:p>
      <w:r>
        <w:t>A proposed 24 person pilot team comprises six model researchers, six data and provenance engineers, four product and platform engineers, three security and evaluation specialists, three rights and contributor operations staff, and two finance and program operators. Retain specialist legal counsel and independent evaluators. This is a pilot staffing assumption, not adequate staffing for every later frontier program.</w:t>
      </w:r>
    </w:p>
    <w:p>
      <w:r>
        <w:t>The first engineering backlog is the asset registry, scoped grants, contribution intake, licensed retrieval, receipts, durable event capture, contributor statements and dispute workflow. Model scaling follows the data and settlement proof rather than becoming a prerequisite for testing the business model.</w:t>
      </w:r>
    </w:p>
    <w:p>
      <w:pPr>
        <w:pStyle w:val="Heading2"/>
      </w:pPr>
      <w:r>
        <w:t>Budget and commercial viability</w:t>
      </w:r>
    </w:p>
    <w:p>
      <w:r>
        <w:t>Budget separately for licensing advances and minimum guarantees; paid experts and contributors; research and training compute; production serving and storage; personnel; security and independent evaluations; legal work; and cash needed to settle royalties before customer receipts stabilize.</w:t>
      </w:r>
    </w:p>
    <w:p>
      <w:r>
        <w:t>Use measured accelerator hours × contracted hourly price for compute. The section 6 illustration implies roughly 0.93 million accelerator hours for one idealized run; it omits retries and the rest of the laboratory. No compute price or total fundraising target is asserted in this draft.</w:t>
      </w:r>
    </w:p>
    <w:p>
      <w:r>
        <w:t>Finance MUST model gross revenue, recurring pool payments, additional contractual obligations, inference and delivery costs, and support costs by product. Stop scaling if realistic downside scenarios cannot fund both operations and contributor liabilities. Never reduce accrued contributor balances to repair laboratory margins.</w:t>
      </w:r>
    </w:p>
    <w:p>
      <w:pPr>
        <w:pStyle w:val="Heading2"/>
      </w:pPr>
      <w:r>
        <w:t>Business and release model</w:t>
      </w:r>
    </w:p>
    <w:p>
      <w:r>
        <w:t>Sell research APIs, enterprise knowledge services and sovereign deployments. Open source the rights schema, receipt format and client libraries where feasible. Treat model weight distribution as a separate licensing decision: freely distributable weights make reliable downstream usage metering difficult and cannot carry an enforceable promise of universal per answer royalties.</w:t>
      </w:r>
    </w:p>
    <w:p>
      <w:pPr>
        <w:pStyle w:val="Heading1"/>
        <w:pageBreakBefore/>
      </w:pPr>
      <w:r>
        <w:t>11 Trump administration policy references</w:t>
      </w:r>
    </w:p>
    <w:p>
      <w:r>
        <w:t>Policy review date: 10 October 2026. This section maps selected verified primary documents to proposed project choices. Executive directions, procurement obligations, legislative recommendations and laboratory commitments have different legal effects. Review implementation measures and governing law again before procurement or launch.</w:t>
      </w:r>
    </w:p>
    <w:p>
      <w:pPr>
        <w:pStyle w:val="Heading2"/>
      </w:pPr>
      <w:r>
        <w:t>Super Intelligence terminology</w:t>
      </w:r>
    </w:p>
    <w:p>
      <w:r>
        <w:t xml:space="preserve">Executive Order 14434, dated 29 September 2026, directs executive branch use of “Super Intelligence” and “SI” in place of AI terminology in specified communications and non statutory materials. Its interim definition points to the existing statutory AI definition, and it requests proposed legislative language within 60 days. Previously issued historical documents need not be altered. </w:t>
      </w:r>
      <w:hyperlink r:id="rId15">
        <w:r>
          <w:rPr>
            <w:color w:val="174A73"/>
            <w:u w:val="single"/>
          </w:rPr>
          <w:t>[S4]</w:t>
        </w:r>
      </w:hyperlink>
    </w:p>
    <w:p>
      <w:r>
        <w:t>Project response: preserve the Sovereign Source AI name and ordinary technical LLM terminology, while supplying an SI terminology crosswalk for federal materials when applicable. Do not interpret this naming policy as evidence that a model exceeds human intelligence or that private developers must rename every product.</w:t>
      </w:r>
    </w:p>
    <w:p>
      <w:pPr>
        <w:pStyle w:val="Heading2"/>
      </w:pPr>
      <w:r>
        <w:t>Intellectual property and creator compensation</w:t>
      </w:r>
    </w:p>
    <w:p>
      <w:r>
        <w:t xml:space="preserve">The March 2026 National Policy Framework is a set of legislative recommendations. Section III supports protection against infringing outputs and consideration of collective licensing with antitrust safeguards. It states the administration’s view favoring the legality of training while leaving contested fair use questions to courts; it does not create a universal training royalty. </w:t>
      </w:r>
      <w:hyperlink r:id="rId16">
        <w:r>
          <w:rPr>
            <w:color w:val="174A73"/>
            <w:u w:val="single"/>
          </w:rPr>
          <w:t>[S5]</w:t>
        </w:r>
      </w:hyperlink>
    </w:p>
    <w:p>
      <w:r>
        <w:t>Project response: offer voluntary, enforceable licensing and contribution compensation regardless of whether a particular use might qualify for an exception. A collective licensing exchange would require antitrust review and valid agreements; the recommendation is not an existing immunity. The project’s idea and prompt royalties are additional contractual commitments.</w:t>
      </w:r>
    </w:p>
    <w:p>
      <w:pPr>
        <w:pStyle w:val="Heading2"/>
      </w:pPr>
      <w:r>
        <w:t>Frontier innovation and security</w:t>
      </w:r>
    </w:p>
    <w:p>
      <w:r>
        <w:t xml:space="preserve">Executive Order 14409, dated 2 June 2026, directs development of a voluntary framework for covered frontier models, including confidential government access for up to 30 days before release to other trusted partners. It explicitly disclaims creation of a mandatory government model licensing or preclearance requirement through that section. </w:t>
      </w:r>
      <w:hyperlink r:id="rId17">
        <w:r>
          <w:rPr>
            <w:color w:val="174A73"/>
            <w:u w:val="single"/>
          </w:rPr>
          <w:t>[S6]</w:t>
        </w:r>
      </w:hyperlink>
    </w:p>
    <w:p>
      <w:r>
        <w:t>Project response: prepare a protected evaluation interface and a process to assess participation and contractual terms. Maintain independent release gates and coordinate vulnerability remediation. Do not claim that all models require federal preapproval or that this project already participates in the framework.</w:t>
      </w:r>
    </w:p>
    <w:p>
      <w:pPr>
        <w:pStyle w:val="Heading2"/>
      </w:pPr>
      <w:r>
        <w:t>American AI development strategy</w:t>
      </w:r>
    </w:p>
    <w:p>
      <w:r>
        <w:t xml:space="preserve">America’s AI Action Plan, published in July 2025, organizes federal policy recommendations around innovation, infrastructure, and international diplomacy and security. It addresses open models and calls for frontier national security evaluations, including cyber and CBRNE risks. </w:t>
      </w:r>
      <w:hyperlink r:id="rId18">
        <w:r>
          <w:rPr>
            <w:color w:val="174A73"/>
            <w:u w:val="single"/>
          </w:rPr>
          <w:t>[S7]</w:t>
        </w:r>
      </w:hyperlink>
    </w:p>
    <w:p>
      <w:r>
        <w:t>Project response: invest in an American research and compute base, publish interoperable attribution tools, develop credible independent evaluations and offer allied deployments where permitted. The plan supplies strategic context; it does not certify this laboratory or establish the proposed royalty percentages.</w:t>
      </w:r>
    </w:p>
    <w:p>
      <w:pPr>
        <w:pStyle w:val="Heading1"/>
        <w:pageBreakBefore/>
      </w:pPr>
      <w:r>
        <w:t>12 Procurement policy and launch decisions</w:t>
      </w:r>
    </w:p>
    <w:p>
      <w:pPr>
        <w:pStyle w:val="Heading2"/>
      </w:pPr>
      <w:r>
        <w:t>Federal procurement and factual integrity</w:t>
      </w:r>
    </w:p>
    <w:p>
      <w:r>
        <w:t xml:space="preserve">Executive Order 14319, dated 23 July 2025 and titled Preventing Woke AI in the Federal Government, establishes truth seeking and ideological neutrality principles for covered federal LLM procurement. OMB Memorandum M 26 04, dated 11 December 2025, implements those principles through procurement requirements and transparency guidance, subject to its scope and exceptions. </w:t>
      </w:r>
      <w:hyperlink r:id="rId19">
        <w:r>
          <w:rPr>
            <w:color w:val="174A73"/>
            <w:u w:val="single"/>
          </w:rPr>
          <w:t>[S8]</w:t>
        </w:r>
      </w:hyperlink>
      <w:r>
        <w:t xml:space="preserve"> </w:t>
      </w:r>
      <w:hyperlink r:id="rId20">
        <w:r>
          <w:rPr>
            <w:color w:val="174A73"/>
            <w:u w:val="single"/>
          </w:rPr>
          <w:t>[S9]</w:t>
        </w:r>
      </w:hyperlink>
    </w:p>
    <w:p>
      <w:r>
        <w:t>Project response: maintain factual accuracy evaluations, disclose uncertainty and system policies, test viewpoint consistency, and provide acceptable use policies and model, system and data cards. Validate each solicitation’s terms. Policy alignment is not a substitute for truthfulness, and the laboratory must not manufacture supporting evidence or promise political outcomes.</w:t>
      </w:r>
    </w:p>
    <w:p>
      <w:pPr>
        <w:pStyle w:val="Heading2"/>
      </w:pPr>
      <w:r>
        <w:t>Sovereignty in national security systems</w:t>
      </w:r>
    </w:p>
    <w:p>
      <w:r>
        <w:t xml:space="preserve">NSPM 11, dated 5 June 2026, addresses national security AI adoption, adaptation, assurance and accountability. Its assurance provisions seek to prevent commercial or adversary interference with mission dependent systems without federal knowledge and approval; it also calls for security, reliability and civil liberties protections. </w:t>
      </w:r>
      <w:hyperlink r:id="rId21">
        <w:r>
          <w:rPr>
            <w:color w:val="174A73"/>
            <w:u w:val="single"/>
          </w:rPr>
          <w:t>[S10]</w:t>
        </w:r>
      </w:hyperlink>
    </w:p>
    <w:p>
      <w:r>
        <w:t>Project response: for any separately authorized national security deployment, define customer controlled operation, approved updates, continuity licenses and local accounting. Avoid unilateral remote shutdown mechanisms or royalty enforcement that interrupts contracted mission operation. Resolve rights and continuity terms before delivery. This specification does not authorize a weapons or surveillance deployment.</w:t>
      </w:r>
    </w:p>
    <w:p>
      <w:pPr>
        <w:pStyle w:val="Heading2"/>
      </w:pPr>
      <w:r>
        <w:t>International deployment</w:t>
      </w:r>
    </w:p>
    <w:p>
      <w:r>
        <w:t xml:space="preserve">The 23 July 2025 order Promoting the Export of the American AI Technology Stack establishes a coordinated approach to American AI export packages. </w:t>
      </w:r>
      <w:hyperlink r:id="rId22">
        <w:r>
          <w:rPr>
            <w:color w:val="174A73"/>
            <w:u w:val="single"/>
          </w:rPr>
          <w:t>[S11]</w:t>
        </w:r>
      </w:hyperlink>
      <w:r>
        <w:t xml:space="preserve"> Project response: package models, infrastructure, support and provenance tools for eligible customers while checking current export controls, sanctions, territorial rights and local requirements for each deployment. The policy is not blanket export permission.</w:t>
      </w:r>
    </w:p>
    <w:p>
      <w:pPr>
        <w:pStyle w:val="Heading2"/>
      </w:pPr>
      <w:r>
        <w:t>Decisions required before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00"/>
      </w:tblGrid>
      <w:tr>
        <w:trPr>
          <w:cantSplit/>
          <w:tblHeader/>
        </w:trPr>
        <w:tc>
          <w:tcPr>
            <w:tcW w:type="dxa" w:w="2736"/>
            <w:vAlign w:val="center"/>
            <w:tcMar>
              <w:top w:w="90" w:type="dxa"/>
              <w:left w:w="90" w:type="dxa"/>
              <w:bottom w:w="90" w:type="dxa"/>
              <w:right w:w="90" w:type="dxa"/>
            </w:tcMar>
            <w:shd w:fill="1F3A4D"/>
          </w:tcPr>
          <w:p>
            <w:pPr>
              <w:spacing w:after="40" w:line="245" w:lineRule="auto"/>
            </w:pPr>
            <w:r>
              <w:rPr>
                <w:b/>
                <w:color w:val="FFFFFF"/>
                <w:sz w:val="19"/>
              </w:rPr>
              <w:t>Decision</w:t>
            </w:r>
          </w:p>
        </w:tc>
        <w:tc>
          <w:tcPr>
            <w:tcW w:type="dxa" w:w="7200"/>
            <w:vAlign w:val="center"/>
            <w:tcMar>
              <w:top w:w="90" w:type="dxa"/>
              <w:left w:w="90" w:type="dxa"/>
              <w:bottom w:w="90" w:type="dxa"/>
              <w:right w:w="90" w:type="dxa"/>
            </w:tcMar>
            <w:shd w:fill="1F3A4D"/>
          </w:tcPr>
          <w:p>
            <w:pPr>
              <w:spacing w:after="40" w:line="245" w:lineRule="auto"/>
            </w:pPr>
            <w:r>
              <w:rPr>
                <w:b/>
                <w:color w:val="FFFFFF"/>
                <w:sz w:val="19"/>
              </w:rPr>
              <w:t>Proposed starting position</w:t>
            </w:r>
          </w:p>
        </w:tc>
      </w:tr>
      <w:tr>
        <w:trPr>
          <w:cantSplit/>
        </w:trPr>
        <w:tc>
          <w:tcPr>
            <w:tcW w:type="dxa" w:w="2736"/>
            <w:vAlign w:val="center"/>
            <w:tcMar>
              <w:top w:w="90" w:type="dxa"/>
              <w:left w:w="90" w:type="dxa"/>
              <w:bottom w:w="90" w:type="dxa"/>
              <w:right w:w="90" w:type="dxa"/>
            </w:tcMar>
            <w:shd w:fill="FFFFFF"/>
          </w:tcPr>
          <w:p>
            <w:pPr>
              <w:spacing w:after="40" w:line="245" w:lineRule="auto"/>
            </w:pPr>
            <w:r>
              <w:rPr>
                <w:sz w:val="19"/>
              </w:rPr>
              <w:t>Legal structure and jurisdiction</w:t>
            </w:r>
          </w:p>
        </w:tc>
        <w:tc>
          <w:tcPr>
            <w:tcW w:type="dxa" w:w="7200"/>
            <w:vAlign w:val="center"/>
            <w:tcMar>
              <w:top w:w="90" w:type="dxa"/>
              <w:left w:w="90" w:type="dxa"/>
              <w:bottom w:w="90" w:type="dxa"/>
              <w:right w:w="90" w:type="dxa"/>
            </w:tcMar>
            <w:shd w:fill="FFFFFF"/>
          </w:tcPr>
          <w:p>
            <w:pPr>
              <w:spacing w:after="40" w:line="245" w:lineRule="auto"/>
            </w:pPr>
            <w:r>
              <w:rPr>
                <w:sz w:val="19"/>
              </w:rPr>
              <w:t>U.S. operating company with an independent contributor council; confirm ownership and governance instruments.</w:t>
            </w:r>
          </w:p>
        </w:tc>
      </w:tr>
      <w:tr>
        <w:trPr>
          <w:cantSplit/>
        </w:trPr>
        <w:tc>
          <w:tcPr>
            <w:tcW w:type="dxa" w:w="2736"/>
            <w:vAlign w:val="center"/>
            <w:tcMar>
              <w:top w:w="90" w:type="dxa"/>
              <w:left w:w="90" w:type="dxa"/>
              <w:bottom w:w="90" w:type="dxa"/>
              <w:right w:w="90" w:type="dxa"/>
            </w:tcMar>
            <w:shd w:fill="F1F4F6"/>
          </w:tcPr>
          <w:p>
            <w:pPr>
              <w:spacing w:after="40" w:line="245" w:lineRule="auto"/>
            </w:pPr>
            <w:r>
              <w:rPr>
                <w:sz w:val="19"/>
              </w:rPr>
              <w:t>Commercial commitments</w:t>
            </w:r>
          </w:p>
        </w:tc>
        <w:tc>
          <w:tcPr>
            <w:tcW w:type="dxa" w:w="7200"/>
            <w:vAlign w:val="center"/>
            <w:tcMar>
              <w:top w:w="90" w:type="dxa"/>
              <w:left w:w="90" w:type="dxa"/>
              <w:bottom w:w="90" w:type="dxa"/>
              <w:right w:w="90" w:type="dxa"/>
            </w:tcMar>
            <w:shd w:fill="F1F4F6"/>
          </w:tcPr>
          <w:p>
            <w:pPr>
              <w:spacing w:after="40" w:line="245" w:lineRule="auto"/>
            </w:pPr>
            <w:r>
              <w:rPr>
                <w:sz w:val="19"/>
              </w:rPr>
              <w:t>Adopt the 20% pool only after testing actual licenses and unit economics; sign the accepted schedule before contributor adoption.</w:t>
            </w:r>
          </w:p>
        </w:tc>
      </w:tr>
      <w:tr>
        <w:trPr>
          <w:cantSplit/>
        </w:trPr>
        <w:tc>
          <w:tcPr>
            <w:tcW w:type="dxa" w:w="2736"/>
            <w:vAlign w:val="center"/>
            <w:tcMar>
              <w:top w:w="90" w:type="dxa"/>
              <w:left w:w="90" w:type="dxa"/>
              <w:bottom w:w="90" w:type="dxa"/>
              <w:right w:w="90" w:type="dxa"/>
            </w:tcMar>
            <w:shd w:fill="FFFFFF"/>
          </w:tcPr>
          <w:p>
            <w:pPr>
              <w:spacing w:after="40" w:line="245" w:lineRule="auto"/>
            </w:pPr>
            <w:r>
              <w:rPr>
                <w:sz w:val="19"/>
              </w:rPr>
              <w:t>Initial data and customers</w:t>
            </w:r>
          </w:p>
        </w:tc>
        <w:tc>
          <w:tcPr>
            <w:tcW w:type="dxa" w:w="7200"/>
            <w:vAlign w:val="center"/>
            <w:tcMar>
              <w:top w:w="90" w:type="dxa"/>
              <w:left w:w="90" w:type="dxa"/>
              <w:bottom w:w="90" w:type="dxa"/>
              <w:right w:w="90" w:type="dxa"/>
            </w:tcMar>
            <w:shd w:fill="FFFFFF"/>
          </w:tcPr>
          <w:p>
            <w:pPr>
              <w:spacing w:after="40" w:line="245" w:lineRule="auto"/>
            </w:pPr>
            <w:r>
              <w:rPr>
                <w:sz w:val="19"/>
              </w:rPr>
              <w:t>Prioritize licensed text and code for enterprise research; secure anchor licensors and paying pilot customers.</w:t>
            </w:r>
          </w:p>
        </w:tc>
      </w:tr>
      <w:tr>
        <w:trPr>
          <w:cantSplit/>
        </w:trPr>
        <w:tc>
          <w:tcPr>
            <w:tcW w:type="dxa" w:w="2736"/>
            <w:vAlign w:val="center"/>
            <w:tcMar>
              <w:top w:w="90" w:type="dxa"/>
              <w:left w:w="90" w:type="dxa"/>
              <w:bottom w:w="90" w:type="dxa"/>
              <w:right w:w="90" w:type="dxa"/>
            </w:tcMar>
            <w:shd w:fill="F1F4F6"/>
          </w:tcPr>
          <w:p>
            <w:pPr>
              <w:spacing w:after="40" w:line="245" w:lineRule="auto"/>
            </w:pPr>
            <w:r>
              <w:rPr>
                <w:sz w:val="19"/>
              </w:rPr>
              <w:t>Training origin claim</w:t>
            </w:r>
          </w:p>
        </w:tc>
        <w:tc>
          <w:tcPr>
            <w:tcW w:type="dxa" w:w="7200"/>
            <w:vAlign w:val="center"/>
            <w:tcMar>
              <w:top w:w="90" w:type="dxa"/>
              <w:left w:w="90" w:type="dxa"/>
              <w:bottom w:w="90" w:type="dxa"/>
              <w:right w:w="90" w:type="dxa"/>
            </w:tcMar>
            <w:shd w:fill="F1F4F6"/>
          </w:tcPr>
          <w:p>
            <w:pPr>
              <w:spacing w:after="40" w:line="245" w:lineRule="auto"/>
            </w:pPr>
            <w:r>
              <w:rPr>
                <w:sz w:val="19"/>
              </w:rPr>
              <w:t>Use an explicitly disclosed third party model for a pilot if needed; reserve full provenance claims for audited training.</w:t>
            </w:r>
          </w:p>
        </w:tc>
      </w:tr>
      <w:tr>
        <w:trPr>
          <w:cantSplit/>
        </w:trPr>
        <w:tc>
          <w:tcPr>
            <w:tcW w:type="dxa" w:w="2736"/>
            <w:vAlign w:val="center"/>
            <w:tcMar>
              <w:top w:w="90" w:type="dxa"/>
              <w:left w:w="90" w:type="dxa"/>
              <w:bottom w:w="90" w:type="dxa"/>
              <w:right w:w="90" w:type="dxa"/>
            </w:tcMar>
            <w:shd w:fill="FFFFFF"/>
          </w:tcPr>
          <w:p>
            <w:pPr>
              <w:spacing w:after="40" w:line="245" w:lineRule="auto"/>
            </w:pPr>
            <w:r>
              <w:rPr>
                <w:sz w:val="19"/>
              </w:rPr>
              <w:t>Funding and release authority</w:t>
            </w:r>
          </w:p>
        </w:tc>
        <w:tc>
          <w:tcPr>
            <w:tcW w:type="dxa" w:w="7200"/>
            <w:vAlign w:val="center"/>
            <w:tcMar>
              <w:top w:w="90" w:type="dxa"/>
              <w:left w:w="90" w:type="dxa"/>
              <w:bottom w:w="90" w:type="dxa"/>
              <w:right w:w="90" w:type="dxa"/>
            </w:tcMar>
            <w:shd w:fill="FFFFFF"/>
          </w:tcPr>
          <w:p>
            <w:pPr>
              <w:spacing w:after="40" w:line="245" w:lineRule="auto"/>
            </w:pPr>
            <w:r>
              <w:rPr>
                <w:sz w:val="19"/>
              </w:rPr>
              <w:t>Approve the phase one budget, accountable owners and independent reviewers; later compute commitments require measured evidence.</w:t>
            </w:r>
          </w:p>
        </w:tc>
      </w:tr>
    </w:tbl>
    <w:p/>
    <w:p>
      <w:r>
        <w:t>A viable launch requires both useful capability and a trustworthy economic relationship with contributors. Success means that permission can be checked, credit can be explained, payment can be reproduced, and a contested decision can be corrected.</w:t>
      </w:r>
    </w:p>
    <w:p>
      <w:pPr>
        <w:pStyle w:val="Heading1"/>
        <w:pageBreakBefore/>
      </w:pPr>
      <w:r>
        <w:t>13 Source register</w:t>
      </w:r>
    </w:p>
    <w:p>
      <w:r>
        <w:t>All links were reviewed on 10 October 2026. Linked references support the legal distinctions, technical limitation and policy summaries indicated in the text. The architecture, commercial terms, staffing, schedule and acceptance criteria are original proposed design choices.</w:t>
      </w:r>
    </w:p>
    <w:p>
      <w:pPr>
        <w:keepNext/>
      </w:pPr>
      <w:r>
        <w:rPr>
          <w:b/>
        </w:rPr>
        <w:t xml:space="preserve">S1  </w:t>
      </w:r>
      <w:hyperlink r:id="rId11">
        <w:r>
          <w:rPr>
            <w:color w:val="174A73"/>
            <w:u w:val="single"/>
          </w:rPr>
          <w:t>Copyright Office Circular 31 Ideas Methods or Systems</w:t>
        </w:r>
      </w:hyperlink>
    </w:p>
    <w:p>
      <w:pPr>
        <w:spacing w:after="180"/>
      </w:pPr>
      <w:r>
        <w:t>U.S. Copyright Office. Copyright protects qualifying expression, not the underlying idea or method.</w:t>
      </w:r>
    </w:p>
    <w:p>
      <w:pPr>
        <w:keepNext/>
      </w:pPr>
      <w:r>
        <w:rPr>
          <w:b/>
        </w:rPr>
        <w:t xml:space="preserve">S2  </w:t>
      </w:r>
      <w:hyperlink r:id="rId13">
        <w:r>
          <w:rPr>
            <w:color w:val="174A73"/>
            <w:u w:val="single"/>
          </w:rPr>
          <w:t>Copyright Office AI Report Part 2</w:t>
        </w:r>
      </w:hyperlink>
    </w:p>
    <w:p>
      <w:pPr>
        <w:spacing w:after="180"/>
      </w:pPr>
      <w:r>
        <w:t>29 January 2025. Human authorship and the copyrightability of AI outputs.</w:t>
      </w:r>
    </w:p>
    <w:p>
      <w:pPr>
        <w:keepNext/>
      </w:pPr>
      <w:r>
        <w:rPr>
          <w:b/>
        </w:rPr>
        <w:t xml:space="preserve">S3  </w:t>
      </w:r>
      <w:hyperlink r:id="rId12">
        <w:r>
          <w:rPr>
            <w:color w:val="174A73"/>
            <w:u w:val="single"/>
          </w:rPr>
          <w:t>USPTO New to intellectual property</w:t>
        </w:r>
      </w:hyperlink>
    </w:p>
    <w:p>
      <w:pPr>
        <w:spacing w:after="180"/>
      </w:pPr>
      <w:r>
        <w:t>USPTO guidance on patents, trademarks, copyright and trade secrets.</w:t>
      </w:r>
    </w:p>
    <w:p>
      <w:pPr>
        <w:keepNext/>
      </w:pPr>
      <w:r>
        <w:rPr>
          <w:b/>
        </w:rPr>
        <w:t xml:space="preserve">S4  </w:t>
      </w:r>
      <w:hyperlink r:id="rId15">
        <w:r>
          <w:rPr>
            <w:color w:val="174A73"/>
            <w:u w:val="single"/>
          </w:rPr>
          <w:t>Inaugurating the Era of Super Intelligence</w:t>
        </w:r>
      </w:hyperlink>
    </w:p>
    <w:p>
      <w:pPr>
        <w:spacing w:after="180"/>
      </w:pPr>
      <w:r>
        <w:t>Executive Order 14434, 29 September 2026, sections 1 through 3. Executive branch terminology and proposed definition.</w:t>
      </w:r>
    </w:p>
    <w:p>
      <w:pPr>
        <w:keepNext/>
      </w:pPr>
      <w:r>
        <w:rPr>
          <w:b/>
        </w:rPr>
        <w:t xml:space="preserve">S5  </w:t>
      </w:r>
      <w:hyperlink r:id="rId16">
        <w:r>
          <w:rPr>
            <w:color w:val="174A73"/>
            <w:u w:val="single"/>
          </w:rPr>
          <w:t>National Policy Framework for Artificial Intelligence</w:t>
        </w:r>
      </w:hyperlink>
    </w:p>
    <w:p>
      <w:pPr>
        <w:spacing w:after="180"/>
      </w:pPr>
      <w:r>
        <w:t>White House legislative recommendations, 20 March 2026, especially section III. Recommendations are not enacted legislation.</w:t>
      </w:r>
    </w:p>
    <w:p>
      <w:pPr>
        <w:keepNext/>
      </w:pPr>
      <w:r>
        <w:rPr>
          <w:b/>
        </w:rPr>
        <w:t xml:space="preserve">S6  </w:t>
      </w:r>
      <w:hyperlink r:id="rId17">
        <w:r>
          <w:rPr>
            <w:color w:val="174A73"/>
            <w:u w:val="single"/>
          </w:rPr>
          <w:t>Promoting Advanced Artificial Intelligence Innovation and Security</w:t>
        </w:r>
      </w:hyperlink>
    </w:p>
    <w:p>
      <w:pPr>
        <w:spacing w:after="180"/>
      </w:pPr>
      <w:r>
        <w:t>Executive Order 14409, 2 June 2026, especially section 3. Voluntary frontier model assessment framework.</w:t>
      </w:r>
    </w:p>
    <w:p>
      <w:pPr>
        <w:keepNext/>
      </w:pPr>
      <w:r>
        <w:rPr>
          <w:b/>
        </w:rPr>
        <w:t xml:space="preserve">S7  </w:t>
      </w:r>
      <w:hyperlink r:id="rId18">
        <w:r>
          <w:rPr>
            <w:color w:val="174A73"/>
            <w:u w:val="single"/>
          </w:rPr>
          <w:t>America’s AI Action Plan</w:t>
        </w:r>
      </w:hyperlink>
    </w:p>
    <w:p>
      <w:pPr>
        <w:spacing w:after="180"/>
      </w:pPr>
      <w:r>
        <w:t>White House, July 2025. Innovation, infrastructure, diplomacy and security; frontier evaluations on printed page 22.</w:t>
      </w:r>
    </w:p>
    <w:p>
      <w:pPr>
        <w:keepNext/>
      </w:pPr>
      <w:r>
        <w:rPr>
          <w:b/>
        </w:rPr>
        <w:t xml:space="preserve">S8  </w:t>
      </w:r>
      <w:hyperlink r:id="rId19">
        <w:r>
          <w:rPr>
            <w:color w:val="174A73"/>
            <w:u w:val="single"/>
          </w:rPr>
          <w:t>Preventing Woke AI in the Federal Government</w:t>
        </w:r>
      </w:hyperlink>
    </w:p>
    <w:p>
      <w:pPr>
        <w:spacing w:after="180"/>
      </w:pPr>
      <w:r>
        <w:t>Executive Order 14319, 23 July 2025, sections 3 and 4. Federal LLM procurement principles.</w:t>
      </w:r>
    </w:p>
    <w:p>
      <w:pPr>
        <w:keepNext/>
      </w:pPr>
      <w:r>
        <w:rPr>
          <w:b/>
        </w:rPr>
        <w:t xml:space="preserve">S9  </w:t>
      </w:r>
      <w:hyperlink r:id="rId20">
        <w:r>
          <w:rPr>
            <w:color w:val="174A73"/>
            <w:u w:val="single"/>
          </w:rPr>
          <w:t>OMB Memorandum M 26 04</w:t>
        </w:r>
      </w:hyperlink>
    </w:p>
    <w:p>
      <w:pPr>
        <w:spacing w:after="180"/>
      </w:pPr>
      <w:r>
        <w:t>11 December 2025. Increasing Public Trust in Artificial Intelligence Through Unbiased AI Principles; Appendix A.</w:t>
      </w:r>
    </w:p>
    <w:p>
      <w:pPr>
        <w:keepNext/>
      </w:pPr>
      <w:r>
        <w:rPr>
          <w:b/>
        </w:rPr>
        <w:t xml:space="preserve">S10  </w:t>
      </w:r>
      <w:hyperlink r:id="rId21">
        <w:r>
          <w:rPr>
            <w:color w:val="174A73"/>
            <w:u w:val="single"/>
          </w:rPr>
          <w:t>National Security Presidential Memorandum NSPM 11</w:t>
        </w:r>
      </w:hyperlink>
    </w:p>
    <w:p>
      <w:pPr>
        <w:spacing w:after="180"/>
      </w:pPr>
      <w:r>
        <w:t>5 June 2026, especially section 2. National security adoption, assurance and accountability.</w:t>
      </w:r>
    </w:p>
    <w:p>
      <w:pPr>
        <w:keepNext/>
      </w:pPr>
      <w:r>
        <w:rPr>
          <w:b/>
        </w:rPr>
        <w:t xml:space="preserve">S11  </w:t>
      </w:r>
      <w:hyperlink r:id="rId22">
        <w:r>
          <w:rPr>
            <w:color w:val="174A73"/>
            <w:u w:val="single"/>
          </w:rPr>
          <w:t>Promoting the Export of the American AI Technology Stack</w:t>
        </w:r>
      </w:hyperlink>
    </w:p>
    <w:p>
      <w:pPr>
        <w:spacing w:after="180"/>
      </w:pPr>
      <w:r>
        <w:t>Executive order, 23 July 2025. American AI export packages and federal coordination.</w:t>
      </w:r>
    </w:p>
    <w:p>
      <w:pPr>
        <w:keepNext/>
      </w:pPr>
      <w:r>
        <w:rPr>
          <w:b/>
        </w:rPr>
        <w:t xml:space="preserve">S12  </w:t>
      </w:r>
      <w:hyperlink r:id="rId14">
        <w:r>
          <w:rPr>
            <w:color w:val="174A73"/>
            <w:u w:val="single"/>
          </w:rPr>
          <w:t>TRAK Attributing Model Behavior at Scale</w:t>
        </w:r>
      </w:hyperlink>
    </w:p>
    <w:p>
      <w:pPr>
        <w:spacing w:after="180"/>
      </w:pPr>
      <w:r>
        <w:t>Park, Georgiev, Ilyas, Leclerc and Madry. ICML 2023, PMLR 202, pages 27074–27113. Research on scalable data attribution.</w:t>
      </w:r>
    </w:p>
    <w:p>
      <w:r>
        <w:t>Policy titles above retain the terminology of the underlying published documents. This is a selected policy crosswalk rather than an exhaustive statement of current federal, state or international law. Before executing licenses or entering a regulated deployment, confirm applicable legal requirements and the status of referenced implementation measures.</w:t>
      </w:r>
    </w:p>
    <w:sectPr w:rsidR="00FC693F" w:rsidRPr="0006063C" w:rsidSect="00034616">
      <w:headerReference w:type="default" r:id="rId9"/>
      <w:footerReference w:type="default" r:id="rId10"/>
      <w:pgSz w:w="12240" w:h="15840"/>
      <w:pgMar w:top="979"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sz w:val="16"/>
      </w:rPr>
      <w:t>Working draft v0.1    •    10 October 2026</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SOVEREIGN SOURCE AI    /    PROJECT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7"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opyright.gov/circs/circ31.pdf" TargetMode="External"/><Relationship Id="rId12" Type="http://schemas.openxmlformats.org/officeDocument/2006/relationships/hyperlink" Target="https://www.uspto.gov/learning-and-resources/getting-started" TargetMode="External"/><Relationship Id="rId13" Type="http://schemas.openxmlformats.org/officeDocument/2006/relationships/hyperlink" Target="https://www.copyright.gov/ai/Copyright-and-Artificial-Intelligence-Part-2-Copyrightability-Report.pdf" TargetMode="External"/><Relationship Id="rId14" Type="http://schemas.openxmlformats.org/officeDocument/2006/relationships/hyperlink" Target="https://proceedings.mlr.press/v202/park23c.html" TargetMode="External"/><Relationship Id="rId15" Type="http://schemas.openxmlformats.org/officeDocument/2006/relationships/hyperlink" Target="https://www.whitehouse.gov/presidential-actions/2026/09/inaugurating-the-era-of-super-intelligence/" TargetMode="External"/><Relationship Id="rId16" Type="http://schemas.openxmlformats.org/officeDocument/2006/relationships/hyperlink" Target="https://www.whitehouse.gov/wp-content/uploads/2026/03/03.20.26-National-Policy-Framework-for-Artificial-Intelligence-Legislative-Recommendations.pdf" TargetMode="External"/><Relationship Id="rId17" Type="http://schemas.openxmlformats.org/officeDocument/2006/relationships/hyperlink" Target="https://www.whitehouse.gov/presidential-actions/2026/06/promoting-advanced-artificial-intelligence-innovation-and-security/" TargetMode="External"/><Relationship Id="rId18" Type="http://schemas.openxmlformats.org/officeDocument/2006/relationships/hyperlink" Target="https://www.whitehouse.gov/wp-content/uploads/2025/07/Americas-AI-Action-Plan.pdf" TargetMode="External"/><Relationship Id="rId19" Type="http://schemas.openxmlformats.org/officeDocument/2006/relationships/hyperlink" Target="https://www.whitehouse.gov/presidential-actions/2025/07/preventing-woke-ai-in-the-federal-government/" TargetMode="External"/><Relationship Id="rId20" Type="http://schemas.openxmlformats.org/officeDocument/2006/relationships/hyperlink" Target="https://www.whitehouse.gov/wp-content/uploads/2025/12/M-26-04-Increasing-Public-Trust-in-Artificial-Intelligence-Through-Unbiased-AI-Principles-1.pdf" TargetMode="External"/><Relationship Id="rId21" Type="http://schemas.openxmlformats.org/officeDocument/2006/relationships/hyperlink" Target="https://www.whitehouse.gov/presidential-actions/2026/06/national-security-presidential-memorandum-nspm-11/" TargetMode="External"/><Relationship Id="rId22" Type="http://schemas.openxmlformats.org/officeDocument/2006/relationships/hyperlink" Target="https://www.whitehouse.gov/presidential-actions/2025/07/promoting-the-export-of-the-american-ai-technology-s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Sovereign Source AI Project Specification</dc:title>
  <dc:subject>Frontier model development, intellectual property, attribution and contributor royalties</dc:subject>
  <dc:creator>Sovereign Source AI</dc:creator>
  <cp:keywords>sovsrc.llm, sovereign AI, copyright, attribution, royalties</cp:keywords>
  <dc:description>generated by python-docx</dc:description>
  <cp:lastModifiedBy/>
  <cp:revision>1</cp:revision>
  <dcterms:created xsi:type="dcterms:W3CDTF">2013-12-23T23:15:00Z</dcterms:created>
  <dcterms:modified xsi:type="dcterms:W3CDTF">2013-12-23T23:15:00Z</dcterms:modified>
  <cp:category/>
</cp:coreProperties>
</file>