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ptos Display" w:hAnsi="Aptos Display"/>
          <w:b/>
          <w:color w:val="163B50"/>
          <w:sz w:val="54"/>
        </w:rPr>
        <w:t>OPENHIE IN PHILIPPINE POLICY</w:t>
      </w:r>
    </w:p>
    <w:p>
      <w:pPr>
        <w:spacing w:after="280"/>
      </w:pPr>
      <w:r>
        <w:rPr>
          <w:color w:val="147D82"/>
          <w:sz w:val="28"/>
        </w:rPr>
        <w:t>When the name first appears—and what the documents actually say</w:t>
      </w:r>
    </w:p>
    <w:p>
      <w:pPr>
        <w:spacing w:after="300"/>
      </w:pPr>
      <w:r>
        <w:rPr>
          <w:i/>
          <w:color w:val="5A6973"/>
          <w:sz w:val="18"/>
        </w:rPr>
        <w:t>Evidence-focused report | Exact “OpenHIE” wording only</w:t>
      </w:r>
    </w:p>
    <w:tbl>
      <w:tblPr>
        <w:tblW w:type="auto" w:w="0"/>
        <w:jc w:val="center"/>
        <w:tblLook w:firstColumn="1" w:firstRow="1" w:lastColumn="0" w:lastRow="0" w:noHBand="0" w:noVBand="1" w:val="04A0"/>
      </w:tblPr>
      <w:tblGrid>
        <w:gridCol w:w="9994"/>
      </w:tblGrid>
      <w:tr>
        <w:tc>
          <w:tcPr>
            <w:tcW w:type="dxa" w:w="9994"/>
            <w:shd w:fill="EAF4F4"/>
          </w:tcPr>
          <w:p>
            <w:pPr>
              <w:spacing w:after="80"/>
            </w:pPr>
            <w:r/>
            <w:r>
              <w:rPr>
                <w:b/>
                <w:color w:val="147D82"/>
                <w:sz w:val="18"/>
              </w:rPr>
              <w:t>BOTTOM LINE</w:t>
            </w:r>
          </w:p>
          <w:p>
            <w:pPr>
              <w:spacing w:after="60"/>
            </w:pPr>
            <w:r>
              <w:rPr>
                <w:b/>
                <w:sz w:val="22"/>
              </w:rPr>
              <w:t>The exact-name trail reaches back to 2014 in Philippine HIE project/reporting material. But the earliest located, direct statement tying “OpenHIE” to a Philippine government strategy is in 2024 reporting about the Philippine Digital Health Strategy 2024–2028—not, on the evidence located, in a numbered DOH Administrative Order or Joint Administrative Order.</w:t>
            </w:r>
          </w:p>
          <w:p>
            <w:pPr>
              <w:spacing w:after="0"/>
            </w:pPr>
            <w:r>
              <w:rPr>
                <w:i/>
              </w:rPr>
              <w:t>So the defensible answer depends on “policy”: strategy-era documentation says 2024; formal, numbered issuance explicitly naming OpenHIE was not verified.</w:t>
            </w:r>
          </w:p>
        </w:tc>
      </w:tr>
    </w:tbl>
    <w:p>
      <w:pPr>
        <w:pStyle w:val="Heading1"/>
      </w:pPr>
      <w:r>
        <w:t>1. Exact references</w:t>
      </w:r>
    </w:p>
    <w:p>
      <w:pPr>
        <w:pStyle w:val="Heading2"/>
      </w:pPr>
      <w:r>
        <w:t>A. Strategy-level reference: 2024 (earliest located direct policy link)</w:t>
      </w:r>
    </w:p>
    <w:p>
      <w:r>
        <w:t xml:space="preserve">An AeHIN report published 28 October 2024 (web page timestamp shows 9 December 2024) says DOH Undersecretary Emmie Liza Perez-Chiong presented the Philippine Digital Health Strategy and reports the strategy would use OpenHIE as an interim interoperability framework. Exact wording: </w:t>
      </w:r>
      <w:r>
        <w:rPr>
          <w:i/>
        </w:rPr>
        <w:t>“the OpenHIE framework will serve as an interim interoperability framework to be used at the local and national level healthcare provider network.”</w:t>
      </w:r>
    </w:p>
    <w:p>
      <w:r>
        <w:t>This is an attributed account of a strategy presentation, not the strategy’s own issued text. It supports saying that OpenHIE was part of the 2024 strategy discussion, but does not by itself establish the wording or legal force of a promulgated policy instrument.</w:t>
      </w:r>
    </w:p>
    <w:p>
      <w:pPr>
        <w:ind w:left="259" w:hanging="259"/>
      </w:pPr>
      <w:r>
        <w:rPr>
          <w:b/>
        </w:rPr>
        <w:t xml:space="preserve">AeHIN, “UPM SILab holds a midyear assessment with DOH, PhilHealth, development partners” (28 Oct 2024). </w:t>
      </w:r>
      <w:hyperlink r:id="rId11">
        <w:r>
          <w:rPr>
            <w:color w:val="087E8B"/>
            <w:u w:val="single"/>
          </w:rPr>
          <w:t>Source link</w:t>
        </w:r>
      </w:hyperlink>
      <w:r>
        <w:t xml:space="preserve"> — Direct wording and speaker attribution.</w:t>
      </w:r>
    </w:p>
    <w:p>
      <w:pPr>
        <w:ind w:left="259" w:hanging="259"/>
      </w:pPr>
      <w:r>
        <w:rPr>
          <w:b/>
        </w:rPr>
        <w:t xml:space="preserve">AeHIN, “DOH, AeHIN, UNICEF organize a national digital health summit…” (22 Aug 2024). </w:t>
      </w:r>
      <w:hyperlink r:id="rId12">
        <w:r>
          <w:rPr>
            <w:color w:val="087E8B"/>
            <w:u w:val="single"/>
          </w:rPr>
          <w:t>Source link</w:t>
        </w:r>
      </w:hyperlink>
      <w:r>
        <w:t xml:space="preserve"> — Identifies Philippine Digital Health Strategy 2024–2028 and the March 2024 summit; does not itself quote OpenHIE.</w:t>
      </w:r>
    </w:p>
    <w:p>
      <w:pPr>
        <w:pStyle w:val="Heading2"/>
      </w:pPr>
      <w:r>
        <w:t>B. Exact “OpenHIE” text in a strategy-related presentation</w:t>
      </w:r>
    </w:p>
    <w:p>
      <w:r>
        <w:t xml:space="preserve">A 2026 AeHIN presentation about Philippine digital health interventions reproduces the exact bullet: </w:t>
      </w:r>
      <w:r>
        <w:rPr>
          <w:i/>
        </w:rPr>
        <w:t>“Adoption of the OpenHIE as an interim architecture for UHC.”</w:t>
      </w:r>
    </w:p>
    <w:p>
      <w:r>
        <w:t>This gives a precise slide-level reference for the adoption wording. It is a presentation by AeHIN’s Alvin B. Marcelo, not an official DOH issuance; it corroborates the policy/strategy direction but should not be cited as the legal instrument itself.</w:t>
      </w:r>
    </w:p>
    <w:p>
      <w:pPr>
        <w:ind w:left="259" w:hanging="259"/>
      </w:pPr>
      <w:r>
        <w:rPr>
          <w:b/>
        </w:rPr>
        <w:t xml:space="preserve">AeHIN / Pacific Health Information Network, “Strengthening Standards Capability in the Philippines: from region to country to subnational systems,” slide “Key Philippine Digital Health Interventions.” </w:t>
      </w:r>
      <w:hyperlink r:id="rId13">
        <w:r>
          <w:rPr>
            <w:color w:val="087E8B"/>
            <w:u w:val="single"/>
          </w:rPr>
          <w:t>Source link</w:t>
        </w:r>
      </w:hyperlink>
      <w:r>
        <w:t xml:space="preserve"> — Exact slide bullet; presentation source, not promulgated issuance.</w:t>
      </w:r>
    </w:p>
    <w:p>
      <w:pPr>
        <w:pStyle w:val="Heading2"/>
      </w:pPr>
      <w:r>
        <w:t>C. Earlier project/report trail: 2014</w:t>
      </w:r>
    </w:p>
    <w:p>
      <w:r>
        <w:t>OpenHIE was already expressly named in Philippine HIE work by 2014. A later report’s references list an “Philippines Health Information Exchange Assessment Report. OpenHIE. 14 October 2014.” The 2014 Philippines eHealth strategy itself describes a Philippine Health Information Exchange and interoperable architecture, but its searchable text does not name OpenHIE. Therefore 2014 is an early documentary/project appearance, not proof that a Philippine policy formally adopted OpenHIE then.</w:t>
      </w:r>
    </w:p>
    <w:p>
      <w:pPr>
        <w:ind w:left="259" w:hanging="259"/>
      </w:pPr>
      <w:r>
        <w:rPr>
          <w:b/>
        </w:rPr>
        <w:t xml:space="preserve">Wu, “Recommendations for a Global Framework to Support Health Information Exchange in LMICs” (2016), reference list entry for Philippines Health Information Exchange Assessment Report (OpenHIE, 14 Oct 2014). </w:t>
      </w:r>
      <w:hyperlink r:id="rId14">
        <w:r>
          <w:rPr>
            <w:color w:val="087E8B"/>
            <w:u w:val="single"/>
          </w:rPr>
          <w:t>Source link</w:t>
        </w:r>
      </w:hyperlink>
      <w:r>
        <w:t xml:space="preserve"> — Secondary reference to the 2014 assessment; the assessment itself was not located as a public direct download.</w:t>
      </w:r>
    </w:p>
    <w:p>
      <w:pPr>
        <w:ind w:left="259" w:hanging="259"/>
      </w:pPr>
      <w:r>
        <w:rPr>
          <w:b/>
        </w:rPr>
        <w:t xml:space="preserve">DOH &amp; DOST, Philippine eHealth Strategic Framework and Plan, document version 1.4 (11 Sep 2013). </w:t>
      </w:r>
      <w:hyperlink r:id="rId15">
        <w:r>
          <w:rPr>
            <w:color w:val="087E8B"/>
            <w:u w:val="single"/>
          </w:rPr>
          <w:t>Source link</w:t>
        </w:r>
      </w:hyperlink>
      <w:r>
        <w:t xml:space="preserve"> — Defines PHIE, interoperability and architecture but does not explicitly name OpenHIE in searchable text.</w:t>
      </w:r>
    </w:p>
    <w:p>
      <w:pPr>
        <w:pStyle w:val="Heading1"/>
      </w:pPr>
      <w:r>
        <w:t>2. What the formal issuances establish—and do not establish</w:t>
      </w:r>
    </w:p>
    <w:p>
      <w:pPr>
        <w:pStyle w:val="ListBullet"/>
        <w:spacing w:after="40"/>
      </w:pPr>
      <w:r>
        <w:t>Joint Administrative Order No. 2016-0001, “Implementation of the Philippine Health Information Exchange,” is the policy basis for PHIE implementation. The accessible policy title/text does not establish that PHIE was OpenHIE: no exact OpenHIE reference has been verified in that instrument.</w:t>
      </w:r>
    </w:p>
    <w:p>
      <w:pPr>
        <w:pStyle w:val="ListBullet"/>
        <w:spacing w:after="40"/>
      </w:pPr>
      <w:r>
        <w:t>Joint Administrative Order No. 2021-0002, “Mandatory Adoption and Use of National Health Data Standards for Interoperability,” mandates national standards. It is not evidence of OpenHIE adoption simply because it concerns interoperability.</w:t>
      </w:r>
    </w:p>
    <w:p>
      <w:pPr>
        <w:pStyle w:val="ListBullet"/>
        <w:spacing w:after="40"/>
      </w:pPr>
      <w:r>
        <w:t>Thus, the evidence supports a distinction: PHIE/HIE, interoperability and shared registries were in Philippine policy/project planning earlier; the exact OpenHIE name appears in project/report material no later than 2014; an explicit OpenHIE-as-interim-architecture strategy attribution is documented in 2024. Do not conflate these.</w:t>
      </w:r>
    </w:p>
    <w:p>
      <w:pPr>
        <w:ind w:left="259" w:hanging="259"/>
      </w:pPr>
      <w:r>
        <w:rPr>
          <w:b/>
        </w:rPr>
        <w:t xml:space="preserve">DOH–DOST–PhilHealth Joint Administrative Order No. 2016-0001, “Implementation of the Philippine Health Information Exchange” (20 Jan 2016). </w:t>
      </w:r>
      <w:hyperlink r:id="rId16">
        <w:r>
          <w:rPr>
            <w:color w:val="087E8B"/>
            <w:u w:val="single"/>
          </w:rPr>
          <w:t>Source link</w:t>
        </w:r>
      </w:hyperlink>
      <w:r>
        <w:t xml:space="preserve"> — Accessible full text; it describes PHIE and standards but does not expressly name OpenHIE.</w:t>
      </w:r>
    </w:p>
    <w:p>
      <w:pPr>
        <w:ind w:left="259" w:hanging="259"/>
      </w:pPr>
      <w:r>
        <w:rPr>
          <w:b/>
        </w:rPr>
        <w:t xml:space="preserve">DOH–PhilHealth Joint Administrative Order No. 2021-0002, “Mandatory Adoption and Use of National Health Data Standards for Interoperability” (2021). </w:t>
      </w:r>
      <w:hyperlink r:id="rId17">
        <w:r>
          <w:rPr>
            <w:color w:val="087E8B"/>
            <w:u w:val="single"/>
          </w:rPr>
          <w:t>Source link</w:t>
        </w:r>
      </w:hyperlink>
      <w:r>
        <w:t xml:space="preserve"> — Primary PDF; extracted text searched for the exact term.</w:t>
      </w:r>
    </w:p>
    <w:p>
      <w:pPr>
        <w:pStyle w:val="Heading1"/>
      </w:pPr>
      <w:r>
        <w:t>3. Jev exact-text double-check</w:t>
      </w:r>
    </w:p>
    <w:p>
      <w:r>
        <w:t>Jev (TypeSafe System One, model jev-1.13.0) was asked separately whether the supplied text for each policy/source literally contains “OpenHIE,” without inferring from architecture or meaning. The complete 2021 JAO PDF was extracted (439,959 characters) and searched case-insensitively; it yielded zero matches. Jev’s excerpt-level yes probabilities are reported below:</w:t>
      </w:r>
    </w:p>
    <w:tbl>
      <w:tblPr>
        <w:tblW w:type="auto" w:w="0"/>
        <w:jc w:val="center"/>
        <w:tblLook w:firstColumn="1" w:firstRow="1" w:lastColumn="0" w:lastRow="0" w:noHBand="0" w:noVBand="1" w:val="04A0"/>
      </w:tblPr>
      <w:tblGrid>
        <w:gridCol w:w="3331"/>
        <w:gridCol w:w="3331"/>
        <w:gridCol w:w="3331"/>
      </w:tblGrid>
      <w:tr>
        <w:tc>
          <w:tcPr>
            <w:tcW w:type="dxa" w:w="3331"/>
            <w:vAlign w:val="center"/>
            <w:shd w:fill="163B50"/>
          </w:tcPr>
          <w:p>
            <w:pPr>
              <w:spacing w:after="40"/>
            </w:pPr>
            <w:r/>
            <w:r>
              <w:rPr>
                <w:rFonts w:ascii="Aptos" w:hAnsi="Aptos"/>
                <w:b/>
                <w:color w:val="FFFFFF"/>
                <w:sz w:val="18"/>
              </w:rPr>
              <w:t>Excerpt checked</w:t>
            </w:r>
          </w:p>
        </w:tc>
        <w:tc>
          <w:tcPr>
            <w:tcW w:type="dxa" w:w="3331"/>
            <w:vAlign w:val="center"/>
            <w:shd w:fill="163B50"/>
          </w:tcPr>
          <w:p>
            <w:pPr>
              <w:spacing w:after="40"/>
            </w:pPr>
            <w:r/>
            <w:r>
              <w:rPr>
                <w:rFonts w:ascii="Aptos" w:hAnsi="Aptos"/>
                <w:b/>
                <w:color w:val="FFFFFF"/>
                <w:sz w:val="18"/>
              </w:rPr>
              <w:t>Jev yes probability</w:t>
            </w:r>
          </w:p>
        </w:tc>
        <w:tc>
          <w:tcPr>
            <w:tcW w:type="dxa" w:w="3331"/>
            <w:vAlign w:val="center"/>
            <w:shd w:fill="163B50"/>
          </w:tcPr>
          <w:p>
            <w:pPr>
              <w:spacing w:after="40"/>
            </w:pPr>
            <w:r/>
            <w:r>
              <w:rPr>
                <w:rFonts w:ascii="Aptos" w:hAnsi="Aptos"/>
                <w:b/>
                <w:color w:val="FFFFFF"/>
                <w:sz w:val="18"/>
              </w:rPr>
              <w:t>Interpretation</w:t>
            </w:r>
          </w:p>
        </w:tc>
      </w:tr>
      <w:tr>
        <w:tc>
          <w:tcPr>
            <w:tcW w:type="dxa" w:w="3331"/>
            <w:vAlign w:val="center"/>
            <w:shd w:fill="F2F6F8"/>
          </w:tcPr>
          <w:p>
            <w:pPr>
              <w:spacing w:after="40"/>
            </w:pPr>
            <w:r/>
            <w:r>
              <w:rPr>
                <w:rFonts w:ascii="Aptos" w:hAnsi="Aptos"/>
                <w:b w:val="0"/>
                <w:sz w:val="18"/>
              </w:rPr>
              <w:t>JAO 2016-0001 full-text excerpt</w:t>
            </w:r>
          </w:p>
        </w:tc>
        <w:tc>
          <w:tcPr>
            <w:tcW w:type="dxa" w:w="3331"/>
            <w:vAlign w:val="center"/>
            <w:shd w:fill="F2F6F8"/>
          </w:tcPr>
          <w:p>
            <w:pPr>
              <w:spacing w:after="40"/>
            </w:pPr>
            <w:r/>
            <w:r>
              <w:rPr>
                <w:rFonts w:ascii="Aptos" w:hAnsi="Aptos"/>
                <w:b w:val="0"/>
                <w:sz w:val="18"/>
              </w:rPr>
              <w:t>0.04</w:t>
            </w:r>
          </w:p>
        </w:tc>
        <w:tc>
          <w:tcPr>
            <w:tcW w:type="dxa" w:w="3331"/>
            <w:vAlign w:val="center"/>
            <w:shd w:fill="F2F6F8"/>
          </w:tcPr>
          <w:p>
            <w:pPr>
              <w:spacing w:after="40"/>
            </w:pPr>
            <w:r/>
            <w:r>
              <w:rPr>
                <w:rFonts w:ascii="Aptos" w:hAnsi="Aptos"/>
                <w:b w:val="0"/>
                <w:sz w:val="18"/>
              </w:rPr>
              <w:t>Jev: exact term absent</w:t>
            </w:r>
          </w:p>
        </w:tc>
      </w:tr>
      <w:tr>
        <w:tc>
          <w:tcPr>
            <w:tcW w:type="dxa" w:w="3331"/>
            <w:vAlign w:val="center"/>
            <w:shd w:fill="F2F6F8"/>
          </w:tcPr>
          <w:p>
            <w:pPr>
              <w:spacing w:after="40"/>
            </w:pPr>
            <w:r/>
            <w:r>
              <w:rPr>
                <w:rFonts w:ascii="Aptos" w:hAnsi="Aptos"/>
                <w:b w:val="0"/>
                <w:sz w:val="18"/>
              </w:rPr>
              <w:t>JAO 2021-0002 full extracted PDF text</w:t>
            </w:r>
          </w:p>
        </w:tc>
        <w:tc>
          <w:tcPr>
            <w:tcW w:type="dxa" w:w="3331"/>
            <w:vAlign w:val="center"/>
            <w:shd w:fill="F2F6F8"/>
          </w:tcPr>
          <w:p>
            <w:pPr>
              <w:spacing w:after="40"/>
            </w:pPr>
            <w:r/>
            <w:r>
              <w:rPr>
                <w:rFonts w:ascii="Aptos" w:hAnsi="Aptos"/>
                <w:b w:val="0"/>
                <w:sz w:val="18"/>
              </w:rPr>
              <w:t>0.05</w:t>
            </w:r>
          </w:p>
        </w:tc>
        <w:tc>
          <w:tcPr>
            <w:tcW w:type="dxa" w:w="3331"/>
            <w:vAlign w:val="center"/>
            <w:shd w:fill="F2F6F8"/>
          </w:tcPr>
          <w:p>
            <w:pPr>
              <w:spacing w:after="40"/>
            </w:pPr>
            <w:r/>
            <w:r>
              <w:rPr>
                <w:rFonts w:ascii="Aptos" w:hAnsi="Aptos"/>
                <w:b w:val="0"/>
                <w:sz w:val="18"/>
              </w:rPr>
              <w:t>Jev: exact term absent</w:t>
            </w:r>
          </w:p>
        </w:tc>
      </w:tr>
      <w:tr>
        <w:tc>
          <w:tcPr>
            <w:tcW w:type="dxa" w:w="3331"/>
            <w:vAlign w:val="center"/>
            <w:shd w:fill="F2F6F8"/>
          </w:tcPr>
          <w:p>
            <w:pPr>
              <w:spacing w:after="40"/>
            </w:pPr>
            <w:r/>
            <w:r>
              <w:rPr>
                <w:rFonts w:ascii="Aptos" w:hAnsi="Aptos"/>
                <w:b w:val="0"/>
                <w:sz w:val="18"/>
              </w:rPr>
              <w:t>2024 attributed strategy excerpt</w:t>
            </w:r>
          </w:p>
        </w:tc>
        <w:tc>
          <w:tcPr>
            <w:tcW w:type="dxa" w:w="3331"/>
            <w:vAlign w:val="center"/>
            <w:shd w:fill="F2F6F8"/>
          </w:tcPr>
          <w:p>
            <w:pPr>
              <w:spacing w:after="40"/>
            </w:pPr>
            <w:r/>
            <w:r>
              <w:rPr>
                <w:rFonts w:ascii="Aptos" w:hAnsi="Aptos"/>
                <w:b w:val="0"/>
                <w:sz w:val="18"/>
              </w:rPr>
              <w:t>0.97</w:t>
            </w:r>
          </w:p>
        </w:tc>
        <w:tc>
          <w:tcPr>
            <w:tcW w:type="dxa" w:w="3331"/>
            <w:vAlign w:val="center"/>
            <w:shd w:fill="F2F6F8"/>
          </w:tcPr>
          <w:p>
            <w:pPr>
              <w:spacing w:after="40"/>
            </w:pPr>
            <w:r/>
            <w:r>
              <w:rPr>
                <w:rFonts w:ascii="Aptos" w:hAnsi="Aptos"/>
                <w:b w:val="0"/>
                <w:sz w:val="18"/>
              </w:rPr>
              <w:t>Jev: exact term present</w:t>
            </w:r>
          </w:p>
        </w:tc>
      </w:tr>
      <w:tr>
        <w:tc>
          <w:tcPr>
            <w:tcW w:type="dxa" w:w="3331"/>
            <w:vAlign w:val="center"/>
            <w:shd w:fill="F2F6F8"/>
          </w:tcPr>
          <w:p>
            <w:pPr>
              <w:spacing w:after="40"/>
            </w:pPr>
            <w:r/>
            <w:r>
              <w:rPr>
                <w:rFonts w:ascii="Aptos" w:hAnsi="Aptos"/>
                <w:b w:val="0"/>
                <w:sz w:val="18"/>
              </w:rPr>
              <w:t>2024 strategy slide bullet</w:t>
            </w:r>
          </w:p>
        </w:tc>
        <w:tc>
          <w:tcPr>
            <w:tcW w:type="dxa" w:w="3331"/>
            <w:vAlign w:val="center"/>
            <w:shd w:fill="F2F6F8"/>
          </w:tcPr>
          <w:p>
            <w:pPr>
              <w:spacing w:after="40"/>
            </w:pPr>
            <w:r/>
            <w:r>
              <w:rPr>
                <w:rFonts w:ascii="Aptos" w:hAnsi="Aptos"/>
                <w:b w:val="0"/>
                <w:sz w:val="18"/>
              </w:rPr>
              <w:t>0.96</w:t>
            </w:r>
          </w:p>
        </w:tc>
        <w:tc>
          <w:tcPr>
            <w:tcW w:type="dxa" w:w="3331"/>
            <w:vAlign w:val="center"/>
            <w:shd w:fill="F2F6F8"/>
          </w:tcPr>
          <w:p>
            <w:pPr>
              <w:spacing w:after="40"/>
            </w:pPr>
            <w:r/>
            <w:r>
              <w:rPr>
                <w:rFonts w:ascii="Aptos" w:hAnsi="Aptos"/>
                <w:b w:val="0"/>
                <w:sz w:val="18"/>
              </w:rPr>
              <w:t>Jev: exact term present</w:t>
            </w:r>
          </w:p>
        </w:tc>
      </w:tr>
    </w:tbl>
    <w:p>
      <w:pPr>
        <w:spacing w:before="100"/>
      </w:pPr>
      <w:r>
        <w:rPr>
          <w:b/>
        </w:rPr>
        <w:t xml:space="preserve">Method limitation: </w:t>
      </w:r>
      <w:r>
        <w:t>Jev is an advisory semantic model, not a source validator. The JAO 2021-0002 zero-match result comes from a deterministic text search as well as Jev’s separate low-probability judgment. JAO 2016-0001’s accessible full text was also reviewed; Jev’s separate excerpt-level judgment supports absence. The linked source documents—not Jev—are the evidence.</w:t>
      </w:r>
    </w:p>
    <w:p>
      <w:pPr>
        <w:pStyle w:val="Heading1"/>
      </w:pPr>
      <w:r>
        <w:t>Conclusion</w:t>
      </w:r>
    </w:p>
    <w:p>
      <w:r>
        <w:rPr>
          <w:b/>
        </w:rPr>
        <w:t xml:space="preserve">For a careful citation: </w:t>
      </w:r>
      <w:r>
        <w:t>say OpenHIE appears in Philippine HIE project material by 2014, but the earliest located explicit statement associating it with the Philippine Digital Health Strategy is the 2024 strategy-era account. No direct, numbered national policy issuance that explicitly names OpenHIE was confirmed in this review. If “policy” means a formally promulgated order, the exact first-policy date remains unverified until the official 2024 strategy text or a relevant issuance containing the word is produced.</w:t>
      </w:r>
    </w:p>
    <w:p>
      <w:pPr>
        <w:spacing w:before="160"/>
      </w:pPr>
      <w:r>
        <w:rPr>
          <w:b/>
        </w:rPr>
        <w:t xml:space="preserve">Scope note. </w:t>
      </w:r>
      <w:r>
        <w:t>This is a bounded exact-word source review of publicly accessible materials located in the research, not a legal opinion or an exhaustive audit of every government file and attachment.</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D"/>
        <w:sz w:val="16"/>
      </w:rPr>
      <w:t>Exact-text source review • OpenHIE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47D82"/>
        <w:sz w:val="16"/>
      </w:rPr>
      <w:t>POLICY TRACE  /  PHILIPPINES DIGITAL HEALTH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B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B5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siaehealthinformationnetwork.org/2024/10/28/upm-silab-holds-a-midyear-assessment-with-doh-philhealth-development-partners/" TargetMode="External"/><Relationship Id="rId12" Type="http://schemas.openxmlformats.org/officeDocument/2006/relationships/hyperlink" Target="https://www.asiaehealthinformationnetwork.org/2024/08/22/doh-aehin-unicef-organize-a-national-digital-health-summit-to-advance-efficient-health-service-delivery-with-technology/" TargetMode="External"/><Relationship Id="rId13" Type="http://schemas.openxmlformats.org/officeDocument/2006/relationships/hyperlink" Target="https://phd.spc.int/sites/default/files/p-related-files/2026-05/2.2_Learning%20from%20Philippines%20Case_Understanding%20the%20challenges%20and%20lessons%20for%20interoperability.pdf" TargetMode="External"/><Relationship Id="rId14" Type="http://schemas.openxmlformats.org/officeDocument/2006/relationships/hyperlink" Target="https://regenstrief.org/wp-content/uploads/2016/06/hieframework-version0-8clean-2-4.pdf" TargetMode="External"/><Relationship Id="rId15" Type="http://schemas.openxmlformats.org/officeDocument/2006/relationships/hyperlink" Target="https://cdn.who.int/media/docs/default-source/digital-health-documents/global-observatory-on-digital-health/philippines_ehealth2013_2017.pdf?sfvrsn=327c0c01_3" TargetMode="External"/><Relationship Id="rId16" Type="http://schemas.openxmlformats.org/officeDocument/2006/relationships/hyperlink" Target="https://legaldex.com/laws/implementation-of-the-philippine-health-information-exchange" TargetMode="External"/><Relationship Id="rId17" Type="http://schemas.openxmlformats.org/officeDocument/2006/relationships/hyperlink" Target="https://law.upd.edu.ph/wp-content/uploads/2021/06/DOH-PHIC-JAO-No-2021-0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