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215" w:lineRule="exact"/>
      </w:pPr>
      <w:r>
        <w:t xml:space="preserve">Jordan Damhof</w:t>
      </w:r>
    </w:p>
    <w:p>
      <w:pPr>
        <w:pStyle w:val="FirstParagraph"/>
        <w:spacing w:line="215" w:lineRule="exact"/>
      </w:pPr>
      <w:r>
        <w:rPr>
          <w:b/>
          <w:bCs/>
        </w:rPr>
        <w:t xml:space="preserve">Jordan Damhof</w:t>
      </w:r>
    </w:p>
    <w:p>
      <w:pPr>
        <w:pStyle w:val="BodyText"/>
        <w:spacing w:line="215" w:lineRule="exact"/>
      </w:pPr>
      <w:r>
        <w:t xml:space="preserve">Senior AI Content Marketing Manager | GEO-era content systems builder</w:t>
      </w:r>
    </w:p>
    <w:p>
      <w:pPr>
        <w:pStyle w:val="BodyText"/>
        <w:spacing w:line="215" w:lineRule="exact"/>
      </w:pPr>
      <w:r>
        <w:t xml:space="preserve">515-230-6341 · jordandamhof@gmail.com · Spicer, MN · github.com/nice-and-precise · boreready.com · linkedin.com/in/jordandamhof</w:t>
      </w:r>
    </w:p>
    <w:bookmarkStart w:id="9" w:name="professional-summary"/>
    <w:p>
      <w:pPr>
        <w:pStyle w:val="Heading2"/>
        <w:spacing w:before="60" w:after="20" w:line="215" w:lineRule="exact"/>
      </w:pPr>
      <w:r>
        <w:rPr>
          <w:sz w:val="24"/>
        </w:rPr>
        <w:t xml:space="preserve">Professional Summary</w:t>
      </w:r>
    </w:p>
    <w:p>
      <w:pPr>
        <w:pStyle w:val="FirstParagraph"/>
        <w:spacing w:line="215" w:lineRule="exact"/>
      </w:pPr>
      <w:r>
        <w:t xml:space="preserve">AI systems builder and content strategist with 20 years turning regulated information into structured BOFU content that drives pipeline. Most recently: audited 16 tebra.com URLs against LLM extractability criteria (zero pages past threshold; three fixes identified) and built a Claude-native compliance-gated pipeline from brief to draft. Background spans AI content architecture (GEO/AEO era), B2B SaaS, competitive intelligence, healthcare documentation under HIPAA, and 13 years of direct-response demand-gen ownership (Nice &amp; Precise, 2010–2023: scaled from $5,000 to $100,000–$120,000 annual revenue via Google Ads, Meta, and local SEO). Solves content operations problems requiring creative storytelling and system-level execution.</w:t>
      </w:r>
    </w:p>
    <w:bookmarkEnd w:id="9"/>
    <w:bookmarkStart w:id="10" w:name="experience"/>
    <w:p>
      <w:pPr>
        <w:pStyle w:val="Heading2"/>
        <w:spacing w:before="60" w:after="20" w:line="215" w:lineRule="exact"/>
      </w:pPr>
      <w:r>
        <w:rPr>
          <w:sz w:val="24"/>
        </w:rPr>
        <w:t xml:space="preserve">Experience</w:t>
      </w:r>
    </w:p>
    <w:p>
      <w:pPr>
        <w:pStyle w:val="FirstParagraph"/>
        <w:spacing w:line="215" w:lineRule="exact"/>
      </w:pPr>
      <w:r>
        <w:rPr>
          <w:b/>
          <w:bCs/>
        </w:rPr>
        <w:t xml:space="preserve">Jordan Damhof Consulting</w:t>
      </w:r>
      <w:r>
        <w:t xml:space="preserve"> </w:t>
      </w:r>
      <w:r>
        <w:t xml:space="preserve">| Founder and AI Systems Builder | 2024 – Present</w:t>
      </w:r>
    </w:p>
    <w:p>
      <w:pPr>
        <w:numPr>
          <w:ilvl w:val="0"/>
          <w:numId w:val="1001"/>
        </w:numPr>
        <w:spacing w:line="215" w:lineRule="exact"/>
      </w:pPr>
      <w:r>
        <w:rPr>
          <w:b/>
          <w:bCs/>
        </w:rPr>
        <w:t xml:space="preserve">Tebra Content OS</w:t>
      </w:r>
      <w:r>
        <w:t xml:space="preserve"> </w:t>
      </w:r>
      <w:r>
        <w:t xml:space="preserve">(github.com/nice-and-precise/tebra-content-os): Claude-native content pipeline for GEO-era BOFU production. Scored 16 tebra.com URLs across five LLM extractability dimensions; zero pages passed the 3.5 threshold; identified three template-level fixes that move 8 of 9 blog posts past threshold. Brief-to-draft pipeline runs compliance-hook-gated writes with registry-backed source citation; ~1,400-word BOFU draft cleared the gate on first run. 7 proof points, 11 registry-backed sources.</w:t>
      </w:r>
    </w:p>
    <w:p>
      <w:pPr>
        <w:numPr>
          <w:ilvl w:val="0"/>
          <w:numId w:val="1001"/>
        </w:numPr>
        <w:spacing w:line="215" w:lineRule="exact"/>
      </w:pPr>
      <w:r>
        <w:rPr>
          <w:b/>
          <w:bCs/>
        </w:rPr>
        <w:t xml:space="preserve">BoreReady</w:t>
      </w:r>
      <w:r>
        <w:t xml:space="preserve"> </w:t>
      </w:r>
      <w:r>
        <w:t xml:space="preserve">(boreready.com): Train-the-trainer B2B SaaS platform under Minn. Stat. § 326B.198. Authored the 8-module, 40-hour curriculum (32 PDFs, 359 pages) approved by Minnesota DLI as the statutory compliance standard. Two paying B2B clients; Stripe billing, certification state machine, and audit reporting.</w:t>
      </w:r>
    </w:p>
    <w:p>
      <w:pPr>
        <w:numPr>
          <w:ilvl w:val="0"/>
          <w:numId w:val="1001"/>
        </w:numPr>
        <w:spacing w:line="215" w:lineRule="exact"/>
      </w:pPr>
      <w:r>
        <w:rPr>
          <w:b/>
          <w:bCs/>
        </w:rPr>
        <w:t xml:space="preserve">AMIE</w:t>
      </w:r>
      <w:r>
        <w:t xml:space="preserve"> </w:t>
      </w:r>
      <w:r>
        <w:t xml:space="preserve">(Autonomous Market Intelligence Engine): Semi-autonomous competitor monitoring and AI content drafting system with human-approval publishing to WordPress, Google Business Profile, and Facebook. $20,000 engagement.</w:t>
      </w:r>
    </w:p>
    <w:p>
      <w:pPr>
        <w:numPr>
          <w:ilvl w:val="0"/>
          <w:numId w:val="1001"/>
        </w:numPr>
        <w:spacing w:line="215" w:lineRule="exact"/>
      </w:pPr>
      <w:r>
        <w:t xml:space="preserve">Ongoing advisory: SONAKO LLC (AI implementation), EtaP Marketing (content ops + KPIs), Midwest Underground Utilities (managed BoreReady).</w:t>
      </w:r>
    </w:p>
    <w:p>
      <w:pPr>
        <w:pStyle w:val="FirstParagraph"/>
        <w:spacing w:line="215" w:lineRule="exact"/>
      </w:pPr>
      <w:r>
        <w:rPr>
          <w:b/>
          <w:bCs/>
        </w:rPr>
        <w:t xml:space="preserve">Bayer Built Woodworks</w:t>
      </w:r>
      <w:r>
        <w:t xml:space="preserve"> </w:t>
      </w:r>
      <w:r>
        <w:t xml:space="preserve">| Operations and Market Intelligence Analyst | 2023 – 2025</w:t>
      </w:r>
    </w:p>
    <w:p>
      <w:pPr>
        <w:pStyle w:val="Compact"/>
        <w:numPr>
          <w:ilvl w:val="0"/>
          <w:numId w:val="1002"/>
        </w:numPr>
        <w:spacing w:line="215" w:lineRule="exact"/>
      </w:pPr>
      <w:r>
        <w:t xml:space="preserve">Produced 40+ competitive intelligence battle cards: weekly briefs synthesizing competitor pricing, features, and market positioning, delivered with 1:1 sales-rep sessions to translate intelligence into active-deal talking points.</w:t>
      </w:r>
    </w:p>
    <w:p>
      <w:pPr>
        <w:pStyle w:val="Compact"/>
        <w:numPr>
          <w:ilvl w:val="0"/>
          <w:numId w:val="1002"/>
        </w:numPr>
        <w:spacing w:line="215" w:lineRule="exact"/>
      </w:pPr>
      <w:r>
        <w:t xml:space="preserve">Authored dozens of technical and operational documents per month; one rebuild resolved a $252K/year misinterpretation of manufacturing specifications – content with direct P&amp;L impact, at volume.</w:t>
      </w:r>
    </w:p>
    <w:p>
      <w:pPr>
        <w:pStyle w:val="Compact"/>
        <w:numPr>
          <w:ilvl w:val="0"/>
          <w:numId w:val="1002"/>
        </w:numPr>
        <w:spacing w:line="215" w:lineRule="exact"/>
      </w:pPr>
      <w:r>
        <w:t xml:space="preserve">Built a custom Google Maps application replacing multi-page reports with a field-ready competitor map; led Lean Six Sigma initiatives and authored SOPs to audit-ready standards.</w:t>
      </w:r>
    </w:p>
    <w:p>
      <w:pPr>
        <w:pStyle w:val="FirstParagraph"/>
        <w:spacing w:line="215" w:lineRule="exact"/>
      </w:pPr>
      <w:r>
        <w:rPr>
          <w:b/>
          <w:bCs/>
        </w:rPr>
        <w:t xml:space="preserve">Ames Fire Department</w:t>
      </w:r>
      <w:r>
        <w:t xml:space="preserve"> </w:t>
      </w:r>
      <w:r>
        <w:t xml:space="preserve">| Lieutenant, Shift A, Station #1 | 2006 – 2023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Led station operations as Lieutenant for 7 years; managed scheduling, staffing, training, project management, and compliance documentation for a full shift crew.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Authored Patient Care Reports and medical documentation under HIPAA across 17 years; audited PCRs for quality and compliance under NEMSIS data standards – the same documentation environment Tebra’s customers operate in daily.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Developed and delivered curriculum at the Iowa Fire Service Training Bureau (2009–2014) and Des Moines Area Community College (2013–2015). Instructor 1 certification.</w:t>
      </w:r>
    </w:p>
    <w:bookmarkEnd w:id="10"/>
    <w:bookmarkStart w:id="11" w:name="skills"/>
    <w:p>
      <w:pPr>
        <w:pStyle w:val="Heading2"/>
        <w:spacing w:before="60" w:after="20" w:line="215" w:lineRule="exact"/>
      </w:pPr>
      <w:r>
        <w:rPr>
          <w:sz w:val="24"/>
        </w:rPr>
        <w:t xml:space="preserve">Skills</w:t>
      </w:r>
    </w:p>
    <w:p>
      <w:pPr>
        <w:pStyle w:val="FirstParagraph"/>
        <w:spacing w:line="215" w:lineRule="exact"/>
      </w:pPr>
      <w:r>
        <w:rPr>
          <w:b/>
          <w:bCs/>
        </w:rPr>
        <w:t xml:space="preserve">AI and Automation:</w:t>
      </w:r>
      <w:r>
        <w:t xml:space="preserve"> </w:t>
      </w:r>
      <w:r>
        <w:t xml:space="preserve">Claude Code, Claude API, custom LLM prompting, AI content pipeline architecture, compliance-hook-gated publishing, structured content for LLM extractability, GEO/AEO content strategy, share-of-citation monitoring</w:t>
      </w:r>
    </w:p>
    <w:p>
      <w:pPr>
        <w:pStyle w:val="BodyText"/>
        <w:spacing w:line="215" w:lineRule="exact"/>
      </w:pPr>
      <w:r>
        <w:rPr>
          <w:b/>
          <w:bCs/>
        </w:rPr>
        <w:t xml:space="preserve">Content Systems and Marketing:</w:t>
      </w:r>
      <w:r>
        <w:t xml:space="preserve"> </w:t>
      </w:r>
      <w:r>
        <w:t xml:space="preserve">BOFU asset creation (comparison pages, ROI calculators, case studies), LLM citation auditing, KPI tracking and reporting, storytelling, editorial workflow design, creative direction, schema markup (JSON-LD: FAQPage, HowTo), competitive intelligence, curriculum development</w:t>
      </w:r>
    </w:p>
    <w:p>
      <w:pPr>
        <w:pStyle w:val="BodyText"/>
        <w:spacing w:line="215" w:lineRule="exact"/>
      </w:pPr>
      <w:r>
        <w:rPr>
          <w:b/>
          <w:bCs/>
        </w:rPr>
        <w:t xml:space="preserve">Technical:</w:t>
      </w:r>
      <w:r>
        <w:t xml:space="preserve"> </w:t>
      </w:r>
      <w:r>
        <w:t xml:space="preserve">Python, Frappe, Stripe API, pytest, CI/CD (GitHub Actions), GIS, WordPress, Google Ads, Meta Ads</w:t>
      </w:r>
    </w:p>
    <w:bookmarkEnd w:id="11"/>
    <w:bookmarkStart w:id="12" w:name="education"/>
    <w:p>
      <w:pPr>
        <w:pStyle w:val="Heading2"/>
        <w:spacing w:before="60" w:after="20" w:line="215" w:lineRule="exact"/>
      </w:pPr>
      <w:r>
        <w:rPr>
          <w:sz w:val="24"/>
        </w:rPr>
        <w:t xml:space="preserve">Education</w:t>
      </w:r>
    </w:p>
    <w:p>
      <w:pPr>
        <w:pStyle w:val="FirstParagraph"/>
        <w:spacing w:line="215" w:lineRule="exact"/>
      </w:pPr>
      <w:r>
        <w:rPr>
          <w:b/>
          <w:bCs/>
        </w:rPr>
        <w:t xml:space="preserve">Holy Names University, Oakland, CA</w:t>
      </w:r>
      <w:r>
        <w:t xml:space="preserve"> </w:t>
      </w:r>
      <w:r>
        <w:t xml:space="preserve">– BA, Communication Studies (2018)</w:t>
      </w:r>
    </w:p>
    <w:p>
      <w:pPr>
        <w:pStyle w:val="BodyText"/>
        <w:spacing w:line="215" w:lineRule="exact"/>
      </w:pPr>
      <w:r>
        <w:rPr>
          <w:b/>
          <w:bCs/>
        </w:rPr>
        <w:t xml:space="preserve">Western Illinois University</w:t>
      </w:r>
      <w:r>
        <w:t xml:space="preserve"> </w:t>
      </w:r>
      <w:r>
        <w:t xml:space="preserve">– Fire &amp; Emergency Services Higher Education, FESHE (2012)</w:t>
      </w:r>
    </w:p>
    <w:p>
      <w:pPr>
        <w:pStyle w:val="BodyText"/>
        <w:spacing w:line="215" w:lineRule="exact"/>
      </w:pPr>
      <w:r>
        <w:rPr>
          <w:b/>
          <w:bCs/>
        </w:rPr>
        <w:t xml:space="preserve">Hennepin Technical College, Eden Prairie, MN</w:t>
      </w:r>
      <w:r>
        <w:t xml:space="preserve"> </w:t>
      </w:r>
      <w:r>
        <w:t xml:space="preserve">– Fire Science and EMT (2005)</w:t>
      </w:r>
    </w:p>
    <w:bookmarkEnd w:id="12"/>
    <w:bookmarkStart w:id="13" w:name="certifications"/>
    <w:p>
      <w:pPr>
        <w:pStyle w:val="Heading2"/>
        <w:spacing w:before="60" w:after="20" w:line="215" w:lineRule="exact"/>
      </w:pPr>
      <w:r>
        <w:rPr>
          <w:sz w:val="24"/>
        </w:rPr>
        <w:t xml:space="preserve">Certifications</w:t>
      </w:r>
    </w:p>
    <w:p>
      <w:pPr>
        <w:pStyle w:val="FirstParagraph"/>
        <w:spacing w:line="215" w:lineRule="exact"/>
      </w:pPr>
      <w:r>
        <w:t xml:space="preserve">Fire Inspector 1 · Fire Officer 1 · Instructor 1 · Firefighter 1 and 2 · Hazmat Technician · NIMS/ICS · EMR (Iowa)</w:t>
      </w:r>
    </w:p>
    <w:bookmarkEnd w:id="13"/>
    <w:sectPr>
      <w:footnotePr>
        <w:numRestart w:val="eachSect"/>
      </w:footnotePr>
      <w:pgMar w:bottom="648" w:footer="0" w:gutter="0" w:header="0" w:left="1080" w:right="1080" w:top="64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4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4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0"/>
      <w:szCs w:val="20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0"/>
      <w:szCs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15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5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18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4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20" w:before="60"/>
      <w:outlineLvl w:val="2"/>
    </w:pPr>
    <w:rPr>
      <w:rFonts w:cstheme="majorBidi" w:eastAsiaTheme="majorEastAsia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Jordan Damhof</dc:title>
  <dc:creator/>
  <cp:keywords/>
  <dcterms:created xsi:type="dcterms:W3CDTF">2026-04-23T20:31:20Z</dcterms:created>
  <dcterms:modified xsi:type="dcterms:W3CDTF">2026-04-23T20:31:20Z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