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691"/>
        <w:tblW w:w="10795" w:type="dxa"/>
        <w:tblLook w:val="04A0"/>
      </w:tblPr>
      <w:tblGrid>
        <w:gridCol w:w="1093"/>
        <w:gridCol w:w="9702"/>
      </w:tblGrid>
      <w:tr w:rsidR="004821B4" w:rsidRPr="004821B4" w:rsidTr="00291CD4">
        <w:trPr>
          <w:trHeight w:val="381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1B4" w:rsidRPr="004821B4" w:rsidRDefault="00291CD4" w:rsidP="00F10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4685665</wp:posOffset>
                  </wp:positionH>
                  <wp:positionV relativeFrom="paragraph">
                    <wp:posOffset>5715</wp:posOffset>
                  </wp:positionV>
                  <wp:extent cx="1649730" cy="1524000"/>
                  <wp:effectExtent l="19050" t="0" r="7620" b="0"/>
                  <wp:wrapNone/>
                  <wp:docPr id="1" name="图片 0" descr="DSC024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4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Yan</w:t>
            </w:r>
            <w:r w:rsidR="00F10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4821B4" w:rsidRPr="004821B4" w:rsidTr="00291CD4">
        <w:trPr>
          <w:trHeight w:val="2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</w:rPr>
              <w:t>University of Potsdam</w:t>
            </w:r>
          </w:p>
        </w:tc>
      </w:tr>
      <w:tr w:rsidR="004821B4" w:rsidRPr="004821B4" w:rsidTr="00291CD4">
        <w:trPr>
          <w:trHeight w:val="2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1B4" w:rsidRPr="004821B4" w:rsidRDefault="004821B4" w:rsidP="00F10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</w:rPr>
              <w:t>Karl-Liebknecht-Str. 24-25, House 29,14476 Potsdam-</w:t>
            </w:r>
            <w:proofErr w:type="spellStart"/>
            <w:r w:rsidRPr="004821B4">
              <w:rPr>
                <w:rFonts w:ascii="Times New Roman" w:eastAsia="Times New Roman" w:hAnsi="Times New Roman" w:cs="Times New Roman"/>
                <w:color w:val="000000"/>
              </w:rPr>
              <w:t>Golm,Germany</w:t>
            </w:r>
            <w:proofErr w:type="spellEnd"/>
          </w:p>
        </w:tc>
      </w:tr>
      <w:tr w:rsidR="004821B4" w:rsidRPr="004821B4" w:rsidTr="00291CD4">
        <w:trPr>
          <w:trHeight w:val="2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</w:rPr>
              <w:t>Email: yanwen@uni-potsdam.de</w:t>
            </w:r>
          </w:p>
        </w:tc>
      </w:tr>
      <w:tr w:rsidR="004821B4" w:rsidRPr="004821B4" w:rsidTr="00291CD4">
        <w:trPr>
          <w:trHeight w:val="2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</w:rPr>
              <w:t xml:space="preserve">Tel. 0331-977 6192 </w:t>
            </w:r>
          </w:p>
        </w:tc>
      </w:tr>
      <w:tr w:rsidR="004821B4" w:rsidRPr="004821B4" w:rsidTr="00291CD4">
        <w:trPr>
          <w:trHeight w:val="137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21B4" w:rsidRPr="004821B4" w:rsidTr="00291CD4">
        <w:trPr>
          <w:trHeight w:val="320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Education and professional experience 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2013.03-</w:t>
            </w: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F10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Postdoctoral researcher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University of Potsdam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Potsdam, Germany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2006.09-201</w:t>
            </w:r>
            <w:r w:rsidR="006B42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6B42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Ph.D. in Plant Molecular Genetics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National Key Laboratory of Crop Genetic Improvement, China. 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Huazhong</w:t>
            </w:r>
            <w:proofErr w:type="spellEnd"/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Agricultural University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Wuhan,China</w:t>
            </w:r>
            <w:proofErr w:type="spellEnd"/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2002.09-2006.07</w:t>
            </w: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Bachelor in Life Science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Huazhong</w:t>
            </w:r>
            <w:proofErr w:type="spellEnd"/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Agricultural University</w:t>
            </w:r>
          </w:p>
        </w:tc>
      </w:tr>
      <w:tr w:rsidR="004821B4" w:rsidRPr="004821B4" w:rsidTr="00291CD4">
        <w:trPr>
          <w:trHeight w:val="336"/>
        </w:trPr>
        <w:tc>
          <w:tcPr>
            <w:tcW w:w="10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3B1315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13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Wuhan ,China.</w:t>
            </w:r>
          </w:p>
        </w:tc>
      </w:tr>
      <w:tr w:rsidR="004821B4" w:rsidRPr="004821B4" w:rsidTr="00291CD4">
        <w:trPr>
          <w:trHeight w:val="79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21B4" w:rsidRPr="004821B4" w:rsidTr="00291CD4">
        <w:trPr>
          <w:trHeight w:val="336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Publications</w:t>
            </w:r>
          </w:p>
        </w:tc>
      </w:tr>
      <w:tr w:rsidR="004821B4" w:rsidRPr="004821B4" w:rsidTr="00291CD4">
        <w:trPr>
          <w:trHeight w:val="2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Papers</w:t>
            </w:r>
          </w:p>
          <w:p w:rsidR="006B4287" w:rsidRDefault="006B4287" w:rsidP="008717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4287">
              <w:rPr>
                <w:rStyle w:val="a3"/>
                <w:b w:val="0"/>
              </w:rPr>
              <w:t>1</w:t>
            </w:r>
            <w:r>
              <w:rPr>
                <w:rStyle w:val="a3"/>
              </w:rPr>
              <w:t xml:space="preserve">. </w:t>
            </w:r>
            <w:r w:rsidRPr="006B4287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 xml:space="preserve">Yan, W., </w:t>
            </w:r>
            <w:r w:rsidRPr="006B4287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 xml:space="preserve">D. Chen </w:t>
            </w:r>
            <w:r w:rsidRPr="0087171C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6B4287"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  <w:t>K. Kaufmann</w:t>
            </w:r>
            <w:r w:rsidRPr="006B4287">
              <w:rPr>
                <w:rFonts w:ascii="Times New Roman" w:hAnsi="Times New Roman" w:cs="Times New Roman"/>
                <w:sz w:val="24"/>
                <w:szCs w:val="24"/>
              </w:rPr>
              <w:t xml:space="preserve">: Efficient multiplex mutagenesis by RNA-guided Cas9 and its use in the characterization of regulatory elements in the AGAMOUS gene. </w:t>
            </w:r>
            <w:r w:rsidRPr="006B4287">
              <w:rPr>
                <w:rStyle w:val="a4"/>
                <w:rFonts w:ascii="Times New Roman" w:hAnsi="Times New Roman" w:cs="Times New Roman"/>
                <w:b/>
                <w:bCs/>
                <w:sz w:val="24"/>
                <w:szCs w:val="24"/>
              </w:rPr>
              <w:t>Plant Methods</w:t>
            </w:r>
            <w:r>
              <w:rPr>
                <w:rStyle w:val="a4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B4287">
              <w:rPr>
                <w:rStyle w:val="a4"/>
                <w:rFonts w:ascii="Times New Roman" w:hAnsi="Times New Roman" w:cs="Times New Roman"/>
                <w:bCs/>
                <w:i w:val="0"/>
                <w:sz w:val="24"/>
                <w:szCs w:val="24"/>
              </w:rPr>
              <w:t>2016</w:t>
            </w:r>
            <w:r w:rsidRPr="006B42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6B4287">
              <w:rPr>
                <w:rFonts w:ascii="Times New Roman" w:hAnsi="Times New Roman" w:cs="Times New Roman"/>
                <w:sz w:val="24"/>
                <w:szCs w:val="24"/>
              </w:rPr>
              <w:t>DOI 10.1186/s13007-016-0125-7</w:t>
            </w:r>
            <w:r w:rsidR="008717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7171C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first author</w:t>
            </w:r>
            <w:r w:rsidR="008717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co-</w:t>
            </w:r>
            <w:r w:rsidR="0087171C">
              <w:t xml:space="preserve"> </w:t>
            </w:r>
            <w:r w:rsidR="008717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correspondence)</w:t>
            </w:r>
          </w:p>
          <w:p w:rsidR="006B4287" w:rsidRPr="004821B4" w:rsidRDefault="006B4287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1B4" w:rsidRPr="004821B4" w:rsidTr="00291CD4">
        <w:trPr>
          <w:trHeight w:val="717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171C" w:rsidRDefault="006B4287" w:rsidP="008717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Dijun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Chen and Kerstin Kaufmann. Molecular mechanisms o</w:t>
            </w:r>
            <w:r w:rsid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 floral organ specification </w:t>
            </w:r>
            <w:proofErr w:type="spellStart"/>
            <w:r w:rsid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MADS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domain proteins. </w:t>
            </w:r>
            <w:r w:rsidR="004821B4" w:rsidRPr="0087171C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Current Opinion in Plant Biology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2016, 29:154–162</w:t>
            </w:r>
            <w:r w:rsidR="008717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17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7171C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first author</w:t>
            </w:r>
            <w:r w:rsidR="008717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1B4" w:rsidRPr="004821B4" w:rsidTr="00291CD4">
        <w:trPr>
          <w:trHeight w:val="1330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6B4287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Xiangchun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Zhou*,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Zhanyi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Zhang, Li Lu,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Zhongmin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Han,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Zhao,Haiyang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Liu, Pan Song, Yong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Guojing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Qin He,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Sibin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Guoqing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Gongwei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Wang and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Yongzhong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Xing. Combinations of the </w:t>
            </w:r>
            <w:r w:rsidR="004821B4"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Ghd7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821B4"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Ghd8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4821B4"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Hd1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genes largely define the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ecogeographical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adaptation and yield potential of cultivated rice. </w:t>
            </w:r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Phytologist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2015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10.1111/nph.13538 </w:t>
            </w:r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(co-first author)</w:t>
            </w:r>
          </w:p>
        </w:tc>
      </w:tr>
      <w:tr w:rsidR="004821B4" w:rsidRPr="004821B4" w:rsidTr="00291CD4">
        <w:trPr>
          <w:trHeight w:val="1345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6B4287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Yan*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Haiyang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Liu 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Xiangchun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Zhou,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Qiuping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Zhang, Li Lu,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Touming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Haijun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Chengjun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Zhanyi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Guojing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Yao,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Huaxia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Chen,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Sibin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Weibo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Xie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Yongzhong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Xing. Natural variation in </w:t>
            </w:r>
            <w:r w:rsidR="004821B4"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Ghd7.1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plays an important role in grain yield and adaptation in rice. </w:t>
            </w:r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Cell Research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2013. 23:969-971. doi:10.1038/cr.2013.43 </w:t>
            </w:r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(co-first author)</w:t>
            </w:r>
          </w:p>
        </w:tc>
      </w:tr>
      <w:tr w:rsidR="004821B4" w:rsidRPr="004821B4" w:rsidTr="00291CD4">
        <w:trPr>
          <w:trHeight w:val="672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6B4287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Li Lu*,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Yan*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Weiya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Xue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Di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Yongzhong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Xing. Evolution and Association Analysis of Ghd7 in Rice</w:t>
            </w:r>
            <w:r w:rsidR="004821B4" w:rsidRPr="003B13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Plos</w:t>
            </w:r>
            <w:proofErr w:type="spellEnd"/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one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2011. doi:10.1371/journal.pone.0034021 </w:t>
            </w:r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(co-first author)</w:t>
            </w:r>
          </w:p>
        </w:tc>
      </w:tr>
      <w:tr w:rsidR="004821B4" w:rsidRPr="004821B4" w:rsidTr="00291CD4">
        <w:trPr>
          <w:trHeight w:val="1146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6B4287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Yan*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Wang*,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Huaxia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Chen,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Hongju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Zhou,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Qiuping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Chongrong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Wang,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Zehong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Ding,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Yushan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Sibin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Yu,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Yongzhong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Xing and </w:t>
            </w:r>
            <w:proofErr w:type="spellStart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Qifa</w:t>
            </w:r>
            <w:proofErr w:type="spellEnd"/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Zhang. A Major QTL, Ghd8, Plays Pleiotropic Roles in Regulating Grain Productivity, Plant Height, and Heading Date in Rice. </w:t>
            </w:r>
            <w:r w:rsidR="004821B4" w:rsidRPr="003B131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Molecular Plant</w:t>
            </w:r>
            <w:r w:rsidR="004821B4" w:rsidRPr="003B13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821B4"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2011. 4(2):319-330. </w:t>
            </w:r>
            <w:r w:rsidR="004821B4"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(co-first author)</w:t>
            </w:r>
          </w:p>
        </w:tc>
      </w:tr>
      <w:tr w:rsidR="004821B4" w:rsidRPr="004821B4" w:rsidTr="00291CD4">
        <w:trPr>
          <w:trHeight w:val="320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 chapter</w:t>
            </w:r>
          </w:p>
        </w:tc>
      </w:tr>
      <w:tr w:rsidR="004821B4" w:rsidRPr="004821B4" w:rsidTr="00291CD4">
        <w:trPr>
          <w:trHeight w:val="658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21B4" w:rsidRPr="004821B4" w:rsidRDefault="004821B4" w:rsidP="0087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Wenhao</w:t>
            </w:r>
            <w:proofErr w:type="spellEnd"/>
            <w:r w:rsidRPr="00482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Yan</w:t>
            </w: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Zhongmin</w:t>
            </w:r>
            <w:proofErr w:type="spellEnd"/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Han, and </w:t>
            </w:r>
            <w:proofErr w:type="spellStart"/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Yongzhong</w:t>
            </w:r>
            <w:proofErr w:type="spellEnd"/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Xing. Molecular diagnostics in rice (</w:t>
            </w:r>
            <w:proofErr w:type="spellStart"/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Oryza</w:t>
            </w:r>
            <w:proofErr w:type="spellEnd"/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sativa</w:t>
            </w: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).Chapter 20 of </w:t>
            </w:r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Diagnostics in Plant Breeding </w:t>
            </w: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  <w:r w:rsidRPr="004821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48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DOI 10.1007/978-94-007-5687-8_20</w:t>
            </w:r>
          </w:p>
        </w:tc>
      </w:tr>
    </w:tbl>
    <w:p w:rsidR="000A05C9" w:rsidRDefault="000A05C9">
      <w:pPr>
        <w:rPr>
          <w:rFonts w:hint="eastAsia"/>
          <w:lang w:eastAsia="zh-CN"/>
        </w:rPr>
      </w:pPr>
      <w:bookmarkStart w:id="0" w:name="_GoBack"/>
      <w:bookmarkEnd w:id="0"/>
    </w:p>
    <w:sectPr w:rsidR="000A05C9" w:rsidSect="0070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C70" w:rsidRDefault="00AB5C70" w:rsidP="00291CD4">
      <w:pPr>
        <w:spacing w:after="0" w:line="240" w:lineRule="auto"/>
      </w:pPr>
      <w:r>
        <w:separator/>
      </w:r>
    </w:p>
  </w:endnote>
  <w:endnote w:type="continuationSeparator" w:id="0">
    <w:p w:rsidR="00AB5C70" w:rsidRDefault="00AB5C70" w:rsidP="0029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C70" w:rsidRDefault="00AB5C70" w:rsidP="00291CD4">
      <w:pPr>
        <w:spacing w:after="0" w:line="240" w:lineRule="auto"/>
      </w:pPr>
      <w:r>
        <w:separator/>
      </w:r>
    </w:p>
  </w:footnote>
  <w:footnote w:type="continuationSeparator" w:id="0">
    <w:p w:rsidR="00AB5C70" w:rsidRDefault="00AB5C70" w:rsidP="00291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21B4"/>
    <w:rsid w:val="000A05C9"/>
    <w:rsid w:val="00291CD4"/>
    <w:rsid w:val="003B1315"/>
    <w:rsid w:val="004821B4"/>
    <w:rsid w:val="006B4287"/>
    <w:rsid w:val="00700F7B"/>
    <w:rsid w:val="0087171C"/>
    <w:rsid w:val="00AB5C70"/>
    <w:rsid w:val="00F1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4287"/>
    <w:rPr>
      <w:b/>
      <w:bCs/>
    </w:rPr>
  </w:style>
  <w:style w:type="character" w:styleId="a4">
    <w:name w:val="Emphasis"/>
    <w:basedOn w:val="a0"/>
    <w:uiPriority w:val="20"/>
    <w:qFormat/>
    <w:rsid w:val="006B4287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29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91CD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91C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91CD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91CD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C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yanwenhao</cp:lastModifiedBy>
  <cp:revision>2</cp:revision>
  <dcterms:created xsi:type="dcterms:W3CDTF">2017-02-11T22:40:00Z</dcterms:created>
  <dcterms:modified xsi:type="dcterms:W3CDTF">2017-02-11T22:40:00Z</dcterms:modified>
</cp:coreProperties>
</file>