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D9" w:rsidRPr="00B91DA8" w:rsidRDefault="004117D9">
      <w:pPr>
        <w:bidi w:val="0"/>
      </w:pPr>
    </w:p>
    <w:tbl>
      <w:tblPr>
        <w:tblStyle w:val="TableGrid"/>
        <w:tblpPr w:leftFromText="180" w:rightFromText="180" w:tblpX="-885" w:tblpY="720"/>
        <w:tblW w:w="1045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988"/>
        <w:gridCol w:w="97"/>
        <w:gridCol w:w="353"/>
        <w:gridCol w:w="107"/>
        <w:gridCol w:w="6913"/>
      </w:tblGrid>
      <w:tr w:rsidR="00B91DA8" w:rsidRPr="00B91DA8" w:rsidTr="001136CE">
        <w:tc>
          <w:tcPr>
            <w:tcW w:w="3085" w:type="dxa"/>
            <w:gridSpan w:val="2"/>
          </w:tcPr>
          <w:p w:rsidR="001267FE" w:rsidRPr="00B91DA8" w:rsidRDefault="00054AF4" w:rsidP="00C1284D">
            <w:pPr>
              <w:pStyle w:val="Default"/>
              <w:rPr>
                <w:rFonts w:asciiTheme="majorBidi" w:eastAsia="Arial" w:hAnsiTheme="majorBidi" w:cstheme="majorBidi"/>
                <w:color w:val="auto"/>
                <w:spacing w:val="-6"/>
              </w:rPr>
            </w:pPr>
            <w:r w:rsidRPr="00B91DA8">
              <w:rPr>
                <w:noProof/>
                <w:color w:val="auto"/>
              </w:rPr>
              <w:drawing>
                <wp:inline distT="0" distB="0" distL="0" distR="0">
                  <wp:extent cx="1644650" cy="2066925"/>
                  <wp:effectExtent l="0" t="0" r="0" b="0"/>
                  <wp:docPr id="1" name="Picture 1" descr="C:\Users\Administrator.Alaa\AppData\Local\Microsoft\Windows\INetCacheContent.Word\WP_20170222_22_40_24_P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.Alaa\AppData\Local\Microsoft\Windows\INetCacheContent.Word\WP_20170222_22_40_24_P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098" cy="2067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3" w:type="dxa"/>
            <w:gridSpan w:val="3"/>
          </w:tcPr>
          <w:p w:rsidR="001267FE" w:rsidRPr="00B91DA8" w:rsidRDefault="001267FE" w:rsidP="007A7EF9">
            <w:pPr>
              <w:pStyle w:val="Default"/>
              <w:rPr>
                <w:color w:val="auto"/>
              </w:rPr>
            </w:pPr>
          </w:p>
          <w:p w:rsidR="001267FE" w:rsidRPr="00B91DA8" w:rsidRDefault="001267FE" w:rsidP="007A7EF9">
            <w:pPr>
              <w:pStyle w:val="Default"/>
              <w:rPr>
                <w:color w:val="auto"/>
              </w:rPr>
            </w:pPr>
          </w:p>
          <w:p w:rsidR="001267FE" w:rsidRPr="00B91DA8" w:rsidRDefault="001267FE" w:rsidP="007A7EF9">
            <w:pPr>
              <w:pStyle w:val="Default"/>
              <w:rPr>
                <w:color w:val="auto"/>
              </w:rPr>
            </w:pPr>
          </w:p>
          <w:p w:rsidR="001267FE" w:rsidRPr="00B91DA8" w:rsidRDefault="001267FE" w:rsidP="007A7EF9">
            <w:pPr>
              <w:pStyle w:val="Default"/>
              <w:rPr>
                <w:color w:val="auto"/>
              </w:rPr>
            </w:pPr>
          </w:p>
          <w:p w:rsidR="001267FE" w:rsidRPr="00B91DA8" w:rsidRDefault="001267FE" w:rsidP="007A7EF9">
            <w:pPr>
              <w:pStyle w:val="Default"/>
              <w:jc w:val="center"/>
              <w:rPr>
                <w:b/>
                <w:bCs/>
                <w:color w:val="auto"/>
              </w:rPr>
            </w:pPr>
            <w:proofErr w:type="spellStart"/>
            <w:r w:rsidRPr="00B91DA8">
              <w:rPr>
                <w:b/>
                <w:bCs/>
                <w:color w:val="auto"/>
              </w:rPr>
              <w:t>Alaa</w:t>
            </w:r>
            <w:proofErr w:type="spellEnd"/>
            <w:r w:rsidRPr="00B91DA8">
              <w:rPr>
                <w:b/>
                <w:bCs/>
                <w:color w:val="auto"/>
              </w:rPr>
              <w:t xml:space="preserve"> Mohamed </w:t>
            </w:r>
            <w:proofErr w:type="spellStart"/>
            <w:r w:rsidRPr="00B91DA8">
              <w:rPr>
                <w:b/>
                <w:bCs/>
                <w:color w:val="auto"/>
              </w:rPr>
              <w:t>Mohamed</w:t>
            </w:r>
            <w:proofErr w:type="spellEnd"/>
            <w:r w:rsidRPr="00B91DA8">
              <w:rPr>
                <w:b/>
                <w:bCs/>
                <w:color w:val="auto"/>
              </w:rPr>
              <w:t xml:space="preserve"> Adam</w:t>
            </w:r>
          </w:p>
          <w:p w:rsidR="001267FE" w:rsidRPr="00B91DA8" w:rsidRDefault="001267FE" w:rsidP="007A7EF9">
            <w:pPr>
              <w:pStyle w:val="Default"/>
              <w:jc w:val="center"/>
              <w:rPr>
                <w:color w:val="auto"/>
              </w:rPr>
            </w:pPr>
          </w:p>
          <w:p w:rsidR="001267FE" w:rsidRPr="00B91DA8" w:rsidRDefault="00AB6253" w:rsidP="00C1284D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B91DA8">
              <w:rPr>
                <w:b/>
                <w:bCs/>
                <w:color w:val="auto"/>
              </w:rPr>
              <w:t xml:space="preserve">Lecturer of Physics, </w:t>
            </w:r>
            <w:proofErr w:type="spellStart"/>
            <w:r w:rsidRPr="00B91DA8">
              <w:rPr>
                <w:b/>
                <w:bCs/>
                <w:color w:val="auto"/>
              </w:rPr>
              <w:t>Sohag</w:t>
            </w:r>
            <w:proofErr w:type="spellEnd"/>
            <w:r w:rsidRPr="00B91DA8">
              <w:rPr>
                <w:b/>
                <w:bCs/>
                <w:color w:val="auto"/>
              </w:rPr>
              <w:t xml:space="preserve"> University, </w:t>
            </w:r>
            <w:proofErr w:type="spellStart"/>
            <w:r w:rsidRPr="00B91DA8">
              <w:rPr>
                <w:b/>
                <w:bCs/>
                <w:color w:val="auto"/>
              </w:rPr>
              <w:t>Sohag</w:t>
            </w:r>
            <w:proofErr w:type="spellEnd"/>
            <w:r w:rsidRPr="00B91DA8">
              <w:rPr>
                <w:b/>
                <w:bCs/>
                <w:color w:val="auto"/>
              </w:rPr>
              <w:t>, Egypt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013A73" w:rsidP="007A7EF9">
            <w:pPr>
              <w:suppressLineNumbers/>
              <w:suppressAutoHyphens/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Date of birth 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013A73" w:rsidP="007A7EF9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 xml:space="preserve">20/01/1985  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013A73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Nationality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013A73" w:rsidP="007A7EF9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b/>
                <w:bCs/>
                <w:sz w:val="24"/>
                <w:szCs w:val="24"/>
                <w:lang w:bidi="ar-EG"/>
              </w:rPr>
              <w:t>Egyptian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506A8E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Email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073B62" w:rsidP="007A7EF9">
            <w:pPr>
              <w:suppressLineNumbers/>
              <w:suppressAutoHyphens/>
              <w:bidi w:val="0"/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</w:pPr>
            <w:hyperlink r:id="rId8" w:history="1">
              <w:r w:rsidR="004117D9" w:rsidRPr="00B91DA8">
                <w:rPr>
                  <w:rStyle w:val="Hyperlink"/>
                  <w:rFonts w:ascii="Arial" w:eastAsia="Arial" w:hAnsi="Arial" w:cs="Arial"/>
                  <w:b/>
                  <w:bCs/>
                  <w:color w:val="auto"/>
                  <w:spacing w:val="-6"/>
                  <w:sz w:val="24"/>
                  <w:szCs w:val="24"/>
                  <w:u w:val="none"/>
                </w:rPr>
                <w:t>alaa.mohamed@science.sohag.edu.eg</w:t>
              </w:r>
            </w:hyperlink>
          </w:p>
          <w:p w:rsidR="004117D9" w:rsidRPr="00B91DA8" w:rsidRDefault="004117D9" w:rsidP="004117D9">
            <w:pPr>
              <w:suppressLineNumbers/>
              <w:suppressAutoHyphens/>
              <w:bidi w:val="0"/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adam_phy@yahoo.com</w:t>
            </w: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D05593" w:rsidRPr="00B91DA8" w:rsidRDefault="00D05593" w:rsidP="007A7EF9">
            <w:pPr>
              <w:bidi w:val="0"/>
              <w:rPr>
                <w:rFonts w:asciiTheme="majorBidi" w:eastAsia="Arial" w:hAnsiTheme="majorBidi" w:cstheme="majorBidi"/>
                <w:spacing w:val="-6"/>
                <w:sz w:val="24"/>
                <w:szCs w:val="24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506A8E" w:rsidP="007A7EF9">
            <w:pPr>
              <w:bidi w:val="0"/>
              <w:rPr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EDUCATION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013A73" w:rsidP="007A7EF9">
            <w:pPr>
              <w:bidi w:val="0"/>
              <w:rPr>
                <w:lang w:bidi="ar-EG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C1284D" w:rsidRPr="00B91DA8" w:rsidRDefault="00C1284D" w:rsidP="00C1284D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January 2016</w:t>
            </w:r>
          </w:p>
        </w:tc>
        <w:tc>
          <w:tcPr>
            <w:tcW w:w="353" w:type="dxa"/>
          </w:tcPr>
          <w:p w:rsidR="00C1284D" w:rsidRPr="00B91DA8" w:rsidRDefault="00C1284D" w:rsidP="00C1284D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C1284D" w:rsidRPr="00B91DA8" w:rsidRDefault="00C1284D" w:rsidP="00C1284D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6"/>
                <w:szCs w:val="26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6"/>
                <w:szCs w:val="26"/>
              </w:rPr>
              <w:t xml:space="preserve">PhD degree </w:t>
            </w:r>
          </w:p>
          <w:p w:rsidR="00C1284D" w:rsidRPr="00B91DA8" w:rsidRDefault="00C1284D" w:rsidP="00C1284D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Physics-Mathematical Science and Engineering department, University of Chemical Technology and Metallurgy, Sofia, Bulgaria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506A8E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October 2013 - July 2015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506A8E" w:rsidP="007A7EF9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Postgraduate cou</w:t>
            </w:r>
            <w:bookmarkStart w:id="0" w:name="_GoBack"/>
            <w:bookmarkEnd w:id="0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rses and Research studies</w:t>
            </w:r>
          </w:p>
          <w:p w:rsidR="00506A8E" w:rsidRPr="00B91DA8" w:rsidRDefault="00506A8E" w:rsidP="007A7EF9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Physics department, university of chemical technology and metallurgy, Sofia, Bulgaria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DB03C3" w:rsidP="007A7EF9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 </w:t>
            </w:r>
            <w:r w:rsidR="00506A8E"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November 2011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506A8E" w:rsidP="007A7EF9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6"/>
                <w:szCs w:val="26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6"/>
                <w:szCs w:val="26"/>
              </w:rPr>
              <w:t>Master’s Degree in Physics</w:t>
            </w:r>
          </w:p>
          <w:p w:rsidR="00506A8E" w:rsidRPr="00B91DA8" w:rsidRDefault="00506A8E" w:rsidP="007A7EF9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Department of physics, Faculty of Science, University of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,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, Egypt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506A8E" w:rsidP="007A7EF9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September 2009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506A8E" w:rsidP="007A7EF9">
            <w:pPr>
              <w:bidi w:val="0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6"/>
                <w:szCs w:val="26"/>
              </w:rPr>
              <w:t>Master Courses in Physics</w:t>
            </w:r>
          </w:p>
          <w:p w:rsidR="00506A8E" w:rsidRPr="00B91DA8" w:rsidRDefault="00506A8E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Department of physics, Faculty of Science, University of</w:t>
            </w:r>
            <w:r w:rsidRPr="00B91DA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,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, Egypt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506A8E" w:rsidP="007A7EF9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May 2006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506A8E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6"/>
                <w:szCs w:val="26"/>
              </w:rPr>
              <w:t>B.Sc. in Physic</w:t>
            </w:r>
            <w:r w:rsidR="00B91DA8"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6"/>
                <w:szCs w:val="26"/>
              </w:rPr>
              <w:t>s</w:t>
            </w:r>
          </w:p>
          <w:p w:rsidR="00D755FE" w:rsidRPr="00B91DA8" w:rsidRDefault="00D755FE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Department of physics, Faculty of Science, University of</w:t>
            </w:r>
            <w:r w:rsidRPr="00B91DA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,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, Egypt</w:t>
            </w: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D05593" w:rsidRPr="00B91DA8" w:rsidRDefault="00D05593" w:rsidP="007A7EF9">
            <w:pPr>
              <w:bidi w:val="0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D755FE" w:rsidP="007A7EF9">
            <w:pPr>
              <w:bidi w:val="0"/>
              <w:rPr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WORK EXPERIENCE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013A73" w:rsidP="007A7EF9">
            <w:pPr>
              <w:bidi w:val="0"/>
              <w:rPr>
                <w:lang w:bidi="ar-EG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D755FE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(October 2013 → July 2015)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D755FE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Lecturer Assistant and researcher</w:t>
            </w:r>
          </w:p>
          <w:p w:rsidR="00D755FE" w:rsidRPr="00B91DA8" w:rsidRDefault="00D755FE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Department of physics, Faculty of Science, University of</w:t>
            </w:r>
            <w:r w:rsidRPr="00B91DA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,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, Egypt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885A56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(</w:t>
            </w:r>
            <w:r w:rsidR="00D755FE"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March 2007 → September 2011)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D755FE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Demonstrator of physics and researcher assistant</w:t>
            </w:r>
          </w:p>
          <w:p w:rsidR="00D755FE" w:rsidRPr="00B91DA8" w:rsidRDefault="00D755FE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Department of physics, Faculty of Science, University of</w:t>
            </w:r>
            <w:r w:rsidRPr="00B91DA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,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, Egypt</w:t>
            </w: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D05593" w:rsidRPr="00B91DA8" w:rsidRDefault="00D05593" w:rsidP="007A7EF9">
            <w:pPr>
              <w:bidi w:val="0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D05593" w:rsidP="007A7EF9">
            <w:pPr>
              <w:bidi w:val="0"/>
              <w:rPr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ACADEMIC PROJECTS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013A73" w:rsidP="007A7EF9">
            <w:pPr>
              <w:bidi w:val="0"/>
              <w:rPr>
                <w:lang w:bidi="ar-EG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D05593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TEMPUS Project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D05593" w:rsidP="007A7EF9">
            <w:pPr>
              <w:suppressLineNumbers/>
              <w:suppressAutoHyphens/>
              <w:bidi w:val="0"/>
              <w:ind w:left="-1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Developing and introducing of new and </w:t>
            </w:r>
            <w:r w:rsidR="001136CE"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updating</w:t>
            </w: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 courses in materials science 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3A027C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UCTM national project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3A027C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Investigation of chalcogenide materials for power and energy applications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013A73" w:rsidRPr="00B91DA8" w:rsidRDefault="003A027C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lastRenderedPageBreak/>
              <w:t xml:space="preserve">Bulgarian academy of science </w:t>
            </w:r>
            <w:r w:rsidR="00A873D2"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project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3A027C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Hybrid </w:t>
            </w:r>
            <w:r w:rsidR="001136CE"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materials</w:t>
            </w: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 for optoelectronic applications</w:t>
            </w:r>
          </w:p>
        </w:tc>
      </w:tr>
      <w:tr w:rsidR="00B91DA8" w:rsidRPr="00B91DA8" w:rsidTr="00D85330">
        <w:trPr>
          <w:trHeight w:val="683"/>
        </w:trPr>
        <w:tc>
          <w:tcPr>
            <w:tcW w:w="3085" w:type="dxa"/>
            <w:gridSpan w:val="2"/>
          </w:tcPr>
          <w:p w:rsidR="00013A73" w:rsidRPr="00B91DA8" w:rsidRDefault="003A027C" w:rsidP="007A7EF9">
            <w:pPr>
              <w:bidi w:val="0"/>
              <w:rPr>
                <w:b/>
                <w:bCs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BSc. graduation research and essay</w:t>
            </w:r>
          </w:p>
        </w:tc>
        <w:tc>
          <w:tcPr>
            <w:tcW w:w="353" w:type="dxa"/>
          </w:tcPr>
          <w:p w:rsidR="00013A73" w:rsidRPr="00B91DA8" w:rsidRDefault="00013A73" w:rsidP="007A7EF9">
            <w:pPr>
              <w:bidi w:val="0"/>
              <w:rPr>
                <w:b/>
                <w:bCs/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013A73" w:rsidRPr="00B91DA8" w:rsidRDefault="003A027C" w:rsidP="007A7EF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Preparation of grinding disks for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nano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-powder production</w:t>
            </w: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1136CE" w:rsidRPr="00B91DA8" w:rsidRDefault="001136CE" w:rsidP="001136CE">
            <w:pPr>
              <w:bidi w:val="0"/>
              <w:rPr>
                <w:rFonts w:asciiTheme="majorBidi" w:eastAsia="Arial" w:hAnsiTheme="majorBidi" w:cstheme="majorBidi"/>
                <w:spacing w:val="-6"/>
                <w:sz w:val="24"/>
                <w:szCs w:val="24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17435A" w:rsidRPr="00B91DA8" w:rsidRDefault="0017435A" w:rsidP="0017435A">
            <w:pPr>
              <w:bidi w:val="0"/>
              <w:rPr>
                <w:rFonts w:ascii="Arial" w:eastAsia="Arial" w:hAnsi="Arial" w:cs="Arial"/>
                <w:b/>
                <w:spacing w:val="-6"/>
                <w:sz w:val="24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 xml:space="preserve">Job Related Skills and </w:t>
            </w:r>
          </w:p>
          <w:p w:rsidR="0017435A" w:rsidRPr="00B91DA8" w:rsidRDefault="0017435A" w:rsidP="0017435A">
            <w:pPr>
              <w:bidi w:val="0"/>
              <w:rPr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Competences</w:t>
            </w:r>
          </w:p>
        </w:tc>
        <w:tc>
          <w:tcPr>
            <w:tcW w:w="353" w:type="dxa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Preparation and characterization of micro and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nano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 scale materials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353" w:type="dxa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bidi w:val="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Preparation and characterization of thin layers by vacuum thermal evaporation and pulsed laser deposition techniques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353" w:type="dxa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left="-1" w:right="289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Determination of electrical, optical, physicochemical and thermoelectrical </w:t>
            </w:r>
            <w:r w:rsidR="00A873D2"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properties</w:t>
            </w: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 of materials and alloys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353" w:type="dxa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Deep experience with XRD, SEM, TEM, EDAX, Raman and AFM techniques</w:t>
            </w: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353" w:type="dxa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left="-1" w:right="289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strong experience of using UV-Vis- IR spectrophotometer, interference spectroscopy and </w:t>
            </w:r>
            <w:proofErr w:type="spellStart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microhardness</w:t>
            </w:r>
            <w:proofErr w:type="spellEnd"/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 xml:space="preserve"> measurements</w:t>
            </w: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D85330">
        <w:tc>
          <w:tcPr>
            <w:tcW w:w="3085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Computer skills</w:t>
            </w:r>
          </w:p>
        </w:tc>
        <w:tc>
          <w:tcPr>
            <w:tcW w:w="353" w:type="dxa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suppressLineNumbers/>
              <w:suppressAutoHyphens/>
              <w:bidi w:val="0"/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 xml:space="preserve">Good command of the following: </w:t>
            </w:r>
          </w:p>
          <w:p w:rsidR="0017435A" w:rsidRPr="00B91DA8" w:rsidRDefault="0017435A" w:rsidP="0017435A">
            <w:pPr>
              <w:numPr>
                <w:ilvl w:val="0"/>
                <w:numId w:val="2"/>
              </w:numPr>
              <w:suppressLineNumbers/>
              <w:suppressAutoHyphens/>
              <w:bidi w:val="0"/>
              <w:ind w:left="720" w:hanging="360"/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MATLAB</w:t>
            </w:r>
          </w:p>
          <w:p w:rsidR="0017435A" w:rsidRPr="00B91DA8" w:rsidRDefault="0017435A" w:rsidP="0017435A">
            <w:pPr>
              <w:numPr>
                <w:ilvl w:val="0"/>
                <w:numId w:val="2"/>
              </w:numPr>
              <w:suppressLineNumbers/>
              <w:suppressAutoHyphens/>
              <w:bidi w:val="0"/>
              <w:ind w:left="720" w:hanging="360"/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 xml:space="preserve">FORTRAN </w:t>
            </w:r>
          </w:p>
          <w:p w:rsidR="0017435A" w:rsidRPr="00B91DA8" w:rsidRDefault="0017435A" w:rsidP="0017435A">
            <w:pPr>
              <w:numPr>
                <w:ilvl w:val="0"/>
                <w:numId w:val="2"/>
              </w:numPr>
              <w:suppressLineNumbers/>
              <w:suppressAutoHyphens/>
              <w:bidi w:val="0"/>
              <w:ind w:left="720" w:hanging="360"/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Origin® and data analysis software</w:t>
            </w:r>
          </w:p>
          <w:p w:rsidR="0017435A" w:rsidRPr="00B91DA8" w:rsidRDefault="0017435A" w:rsidP="0017435A">
            <w:pPr>
              <w:numPr>
                <w:ilvl w:val="0"/>
                <w:numId w:val="2"/>
              </w:numPr>
              <w:suppressLineNumbers/>
              <w:suppressAutoHyphens/>
              <w:bidi w:val="0"/>
              <w:ind w:left="720" w:hanging="360"/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Microsoft Office™ (Word, Power point ,Excel, Access, Outlook, One note, Project management)</w:t>
            </w:r>
          </w:p>
          <w:p w:rsidR="0017435A" w:rsidRPr="00B91DA8" w:rsidRDefault="0017435A" w:rsidP="00C1284D">
            <w:pPr>
              <w:pStyle w:val="ListParagraph"/>
              <w:numPr>
                <w:ilvl w:val="0"/>
                <w:numId w:val="2"/>
              </w:numPr>
              <w:suppressLineNumbers/>
              <w:suppressAutoHyphens/>
              <w:bidi w:val="0"/>
              <w:spacing w:before="23"/>
              <w:ind w:left="340" w:right="289"/>
              <w:rPr>
                <w:rFonts w:ascii="Arial" w:eastAsia="Arial" w:hAnsi="Arial" w:cs="Arial"/>
                <w:spacing w:val="-6"/>
                <w:sz w:val="20"/>
              </w:rPr>
            </w:pPr>
            <w:r w:rsidRPr="00B91DA8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International Computer Driving License [ICDL]</w:t>
            </w: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1136CE">
        <w:tc>
          <w:tcPr>
            <w:tcW w:w="3085" w:type="dxa"/>
            <w:gridSpan w:val="2"/>
          </w:tcPr>
          <w:p w:rsidR="0017435A" w:rsidRPr="00B91DA8" w:rsidRDefault="0017435A" w:rsidP="0017435A">
            <w:pPr>
              <w:suppressLineNumbers/>
              <w:suppressAutoHyphens/>
              <w:bidi w:val="0"/>
              <w:rPr>
                <w:rFonts w:ascii="Arial" w:eastAsia="Arial" w:hAnsi="Arial" w:cs="Arial"/>
                <w:b/>
                <w:spacing w:val="-6"/>
                <w:sz w:val="24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Languages</w:t>
            </w:r>
          </w:p>
        </w:tc>
        <w:tc>
          <w:tcPr>
            <w:tcW w:w="460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6913" w:type="dxa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spacing w:val="-6"/>
                <w:sz w:val="24"/>
                <w:szCs w:val="24"/>
              </w:rPr>
              <w:t>Mother tongue:  Arabic</w:t>
            </w:r>
          </w:p>
          <w:p w:rsidR="0017435A" w:rsidRPr="00B91DA8" w:rsidRDefault="0017435A" w:rsidP="0017435A">
            <w:pPr>
              <w:suppressLineNumbers/>
              <w:suppressAutoHyphens/>
              <w:bidi w:val="0"/>
              <w:spacing w:before="240"/>
              <w:ind w:right="289"/>
              <w:rPr>
                <w:rFonts w:ascii="Arial" w:eastAsia="Arial" w:hAnsi="Arial" w:cs="Arial"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spacing w:val="-6"/>
                <w:sz w:val="24"/>
                <w:szCs w:val="24"/>
              </w:rPr>
              <w:t>Other languages:  English: Fluent ( IELTS 6.5)</w:t>
            </w:r>
          </w:p>
          <w:p w:rsidR="0017435A" w:rsidRPr="00B91DA8" w:rsidRDefault="0017435A" w:rsidP="0017435A">
            <w:pPr>
              <w:suppressLineNumbers/>
              <w:tabs>
                <w:tab w:val="left" w:pos="1605"/>
              </w:tabs>
              <w:suppressAutoHyphens/>
              <w:bidi w:val="0"/>
              <w:spacing w:before="240"/>
              <w:ind w:right="289"/>
              <w:rPr>
                <w:rFonts w:ascii="Arial" w:eastAsia="Arial" w:hAnsi="Arial" w:cs="Arial"/>
                <w:spacing w:val="-6"/>
                <w:sz w:val="24"/>
                <w:szCs w:val="24"/>
              </w:rPr>
            </w:pPr>
            <w:r w:rsidRPr="00B91DA8">
              <w:rPr>
                <w:rFonts w:ascii="Arial" w:eastAsia="Arial" w:hAnsi="Arial" w:cs="Arial"/>
                <w:spacing w:val="-6"/>
                <w:sz w:val="24"/>
                <w:szCs w:val="24"/>
              </w:rPr>
              <w:tab/>
              <w:t>French: Beginner</w:t>
            </w:r>
          </w:p>
          <w:p w:rsidR="0017435A" w:rsidRPr="00B91DA8" w:rsidRDefault="0017435A" w:rsidP="0017435A">
            <w:pPr>
              <w:suppressLineNumbers/>
              <w:tabs>
                <w:tab w:val="left" w:pos="1605"/>
              </w:tabs>
              <w:suppressAutoHyphens/>
              <w:bidi w:val="0"/>
              <w:spacing w:before="240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  <w:r w:rsidRPr="00B91DA8">
              <w:rPr>
                <w:rFonts w:ascii="Arial" w:eastAsia="Arial" w:hAnsi="Arial" w:cs="Arial"/>
                <w:spacing w:val="-6"/>
                <w:sz w:val="24"/>
                <w:szCs w:val="24"/>
              </w:rPr>
              <w:tab/>
              <w:t>Bulgarian: Beginner</w:t>
            </w: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1136CE">
        <w:tc>
          <w:tcPr>
            <w:tcW w:w="2988" w:type="dxa"/>
          </w:tcPr>
          <w:p w:rsidR="0017435A" w:rsidRPr="00B91DA8" w:rsidRDefault="0017435A" w:rsidP="0017435A">
            <w:pPr>
              <w:suppressLineNumbers/>
              <w:suppressAutoHyphens/>
              <w:bidi w:val="0"/>
              <w:rPr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Social skills and competences</w:t>
            </w:r>
            <w:r w:rsidRPr="00B91DA8">
              <w:rPr>
                <w:rFonts w:ascii="Arial" w:eastAsia="Arial" w:hAnsi="Arial" w:cs="Arial"/>
                <w:b/>
                <w:spacing w:val="-6"/>
                <w:sz w:val="18"/>
              </w:rPr>
              <w:t xml:space="preserve">  </w:t>
            </w:r>
          </w:p>
        </w:tc>
        <w:tc>
          <w:tcPr>
            <w:tcW w:w="557" w:type="dxa"/>
            <w:gridSpan w:val="3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6913" w:type="dxa"/>
          </w:tcPr>
          <w:p w:rsidR="0017435A" w:rsidRPr="00B91DA8" w:rsidRDefault="0017435A" w:rsidP="0017435A">
            <w:pPr>
              <w:numPr>
                <w:ilvl w:val="0"/>
                <w:numId w:val="3"/>
              </w:numPr>
              <w:suppressLineNumbers/>
              <w:suppressAutoHyphens/>
              <w:bidi w:val="0"/>
              <w:ind w:left="720" w:hanging="36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Good ability to adapt to multicultural environment, gained through my experience of studying and travelling abroad and working in European setting.</w:t>
            </w:r>
          </w:p>
          <w:p w:rsidR="0017435A" w:rsidRPr="00B91DA8" w:rsidRDefault="0017435A" w:rsidP="0017435A">
            <w:pPr>
              <w:numPr>
                <w:ilvl w:val="0"/>
                <w:numId w:val="3"/>
              </w:numPr>
              <w:suppressLineNumbers/>
              <w:suppressAutoHyphens/>
              <w:bidi w:val="0"/>
              <w:ind w:left="720" w:hanging="36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Team spirit obtained through the interdisciplinary nature of my previous work</w:t>
            </w:r>
          </w:p>
          <w:p w:rsidR="0017435A" w:rsidRPr="00B91DA8" w:rsidRDefault="0017435A" w:rsidP="0017435A">
            <w:pPr>
              <w:numPr>
                <w:ilvl w:val="0"/>
                <w:numId w:val="3"/>
              </w:numPr>
              <w:suppressLineNumbers/>
              <w:suppressAutoHyphens/>
              <w:bidi w:val="0"/>
              <w:ind w:left="720" w:hanging="36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Analytical and problem solving skills.</w:t>
            </w:r>
          </w:p>
          <w:p w:rsidR="0017435A" w:rsidRPr="00B91DA8" w:rsidRDefault="0017435A" w:rsidP="0017435A">
            <w:pPr>
              <w:numPr>
                <w:ilvl w:val="0"/>
                <w:numId w:val="3"/>
              </w:numPr>
              <w:suppressLineNumbers/>
              <w:suppressAutoHyphens/>
              <w:bidi w:val="0"/>
              <w:ind w:left="720" w:hanging="36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Good ability to work autonomously.</w:t>
            </w:r>
          </w:p>
          <w:p w:rsidR="0017435A" w:rsidRPr="00B91DA8" w:rsidRDefault="0017435A" w:rsidP="0017435A">
            <w:pPr>
              <w:numPr>
                <w:ilvl w:val="0"/>
                <w:numId w:val="3"/>
              </w:numPr>
              <w:suppressLineNumbers/>
              <w:suppressAutoHyphens/>
              <w:bidi w:val="0"/>
              <w:ind w:left="720" w:hanging="36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Independent learning.</w:t>
            </w:r>
          </w:p>
          <w:p w:rsidR="0017435A" w:rsidRPr="00B91DA8" w:rsidRDefault="0017435A" w:rsidP="0017435A">
            <w:pPr>
              <w:numPr>
                <w:ilvl w:val="0"/>
                <w:numId w:val="3"/>
              </w:numPr>
              <w:suppressLineNumbers/>
              <w:suppressAutoHyphens/>
              <w:bidi w:val="0"/>
              <w:ind w:left="720" w:hanging="360"/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Good communication and presentation skills.</w:t>
            </w:r>
          </w:p>
          <w:p w:rsidR="0017435A" w:rsidRPr="00B91DA8" w:rsidRDefault="0017435A" w:rsidP="0017435A">
            <w:pPr>
              <w:numPr>
                <w:ilvl w:val="0"/>
                <w:numId w:val="3"/>
              </w:numPr>
              <w:suppressLineNumbers/>
              <w:suppressAutoHyphens/>
              <w:bidi w:val="0"/>
              <w:ind w:left="720" w:hanging="360"/>
              <w:rPr>
                <w:rFonts w:asciiTheme="majorBidi" w:eastAsia="Arial" w:hAnsiTheme="majorBidi" w:cstheme="majorBidi"/>
                <w:spacing w:val="-6"/>
                <w:sz w:val="24"/>
                <w:szCs w:val="24"/>
              </w:rPr>
            </w:pPr>
            <w:r w:rsidRPr="00B91DA8">
              <w:rPr>
                <w:rFonts w:asciiTheme="majorBidi" w:eastAsia="Arial" w:hAnsiTheme="majorBidi" w:cstheme="majorBidi"/>
                <w:b/>
                <w:bCs/>
                <w:spacing w:val="-6"/>
                <w:sz w:val="24"/>
                <w:szCs w:val="24"/>
              </w:rPr>
              <w:t>Leadership skills developed through work experience in tutoring undergraduates.</w:t>
            </w:r>
          </w:p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337564">
        <w:tc>
          <w:tcPr>
            <w:tcW w:w="2988" w:type="dxa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Publications</w:t>
            </w:r>
          </w:p>
        </w:tc>
        <w:tc>
          <w:tcPr>
            <w:tcW w:w="557" w:type="dxa"/>
            <w:gridSpan w:val="3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6913" w:type="dxa"/>
          </w:tcPr>
          <w:p w:rsidR="0017435A" w:rsidRPr="00B91DA8" w:rsidRDefault="0017435A" w:rsidP="00A36F6A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Structural, Electrical, and Thermoelectrical Properties of (Bi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 xml:space="preserve">1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x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Sb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x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)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Se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Alloys Prepared by a 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Conventional Melting Technique, 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Journal of Experimental and Theoretical Physics, 2013, Vol. 1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16, No. 1, pp. 166–172. (2013), </w:t>
            </w: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 M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Ibrahim, A M </w:t>
            </w:r>
            <w:r w:rsidR="00A36F6A"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Abdel Hakeem, A M Adam, E </w:t>
            </w:r>
            <w:proofErr w:type="spellStart"/>
            <w:r w:rsidR="00A36F6A"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Kh</w:t>
            </w:r>
            <w:proofErr w:type="spellEnd"/>
            <w:r w:rsidR="00A36F6A"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Shokr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7435A" w:rsidRPr="00B91DA8" w:rsidRDefault="0017435A" w:rsidP="00A36F6A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lastRenderedPageBreak/>
              <w:t>Effect of heat treatment on the electrical and thermoelectric properties of Sb doped Bi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Se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, 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Phy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 Scr.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90 (2015)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1-7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.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,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</w:t>
            </w: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 M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Ibrahim, A M Abdel Hakeem, A M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Adam and E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Kh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Shokr</w:t>
            </w:r>
            <w:proofErr w:type="spellEnd"/>
          </w:p>
          <w:p w:rsidR="0017435A" w:rsidRPr="00B91DA8" w:rsidRDefault="0017435A" w:rsidP="0017435A">
            <w:pPr>
              <w:bidi w:val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7435A" w:rsidRPr="00B91DA8" w:rsidRDefault="0017435A" w:rsidP="0017435A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Characterization and physical properties of (Bi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 xml:space="preserve">1 −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x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Sb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x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)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Se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="00A36F6A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alloys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, The second conference of young researchers of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university.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, EGYPT (2011), </w:t>
            </w: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 M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Ibrahim, A Abdel Hakeem, A M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Adam and E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Kh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Shokr</w:t>
            </w:r>
            <w:proofErr w:type="spellEnd"/>
          </w:p>
          <w:p w:rsidR="00B91DA8" w:rsidRPr="00B91DA8" w:rsidRDefault="00B91DA8" w:rsidP="00B91DA8">
            <w:pPr>
              <w:pStyle w:val="ListParagraph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</w:p>
          <w:p w:rsidR="00B91DA8" w:rsidRPr="00B91DA8" w:rsidRDefault="00B91DA8" w:rsidP="00B91DA8">
            <w:pPr>
              <w:pStyle w:val="ListParagraph"/>
              <w:bidi w:val="0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</w:p>
          <w:p w:rsidR="0017435A" w:rsidRDefault="0017435A" w:rsidP="0017435A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Optical and thermal properties of properties of the system Bi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(Se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1-x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Tex)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, Nanoscience Advances in CBRN Agents Detection, Information and Energy Security, 339-344, (2015). A. Adam, E.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Lilov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P.Petkov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.</w:t>
            </w:r>
          </w:p>
          <w:p w:rsidR="00B91DA8" w:rsidRPr="00B91DA8" w:rsidRDefault="00B91DA8" w:rsidP="00B91DA8">
            <w:pPr>
              <w:pStyle w:val="ListParagraph"/>
              <w:bidi w:val="0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</w:p>
          <w:p w:rsidR="0017435A" w:rsidRPr="00B91DA8" w:rsidRDefault="0017435A" w:rsidP="0017435A">
            <w:pPr>
              <w:pStyle w:val="ListParagraph"/>
              <w:numPr>
                <w:ilvl w:val="0"/>
                <w:numId w:val="11"/>
              </w:numPr>
              <w:suppressLineNumbers/>
              <w:suppressAutoHyphens/>
              <w:bidi w:val="0"/>
              <w:spacing w:before="23"/>
              <w:ind w:right="72"/>
              <w:rPr>
                <w:rFonts w:ascii="Times New Roman" w:eastAsia="Arial" w:hAnsi="Times New Roman" w:cs="Times New Roman"/>
                <w:b/>
                <w:bCs/>
                <w:spacing w:val="-6"/>
                <w:sz w:val="24"/>
                <w:szCs w:val="24"/>
              </w:rPr>
            </w:pPr>
            <w:r w:rsidRPr="00B91D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STRUCTURAL AND PHYSICOCHEMICAL PROPERTIES OF CRYSTALLINE BISMUTH CHALCOGENIDES</w:t>
            </w: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Advances in Natural Science: Theory &amp; Applications, 4 (2015</w:t>
            </w:r>
            <w:r w:rsidR="00A36F6A"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23-33,</w:t>
            </w: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A. M. Adam, E. </w:t>
            </w:r>
            <w:proofErr w:type="spellStart"/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Lilov</w:t>
            </w:r>
            <w:proofErr w:type="spellEnd"/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P. </w:t>
            </w:r>
            <w:proofErr w:type="spellStart"/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Petkov</w:t>
            </w:r>
            <w:proofErr w:type="spellEnd"/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91DA8" w:rsidRPr="00B91DA8" w:rsidRDefault="00B91DA8" w:rsidP="00B91DA8">
            <w:pPr>
              <w:pStyle w:val="ListParagraph"/>
              <w:rPr>
                <w:rFonts w:ascii="Times New Roman" w:eastAsia="Arial" w:hAnsi="Times New Roman" w:cs="Times New Roman"/>
                <w:b/>
                <w:bCs/>
                <w:spacing w:val="-6"/>
                <w:sz w:val="24"/>
                <w:szCs w:val="24"/>
              </w:rPr>
            </w:pPr>
          </w:p>
          <w:p w:rsidR="00B91DA8" w:rsidRPr="00B91DA8" w:rsidRDefault="00B91DA8" w:rsidP="00B91DA8">
            <w:pPr>
              <w:pStyle w:val="ListParagraph"/>
              <w:suppressLineNumbers/>
              <w:suppressAutoHyphens/>
              <w:bidi w:val="0"/>
              <w:spacing w:before="23"/>
              <w:ind w:right="72"/>
              <w:rPr>
                <w:rFonts w:ascii="Times New Roman" w:eastAsia="Arial" w:hAnsi="Times New Roman" w:cs="Times New Roman"/>
                <w:b/>
                <w:bCs/>
                <w:spacing w:val="-6"/>
                <w:sz w:val="24"/>
                <w:szCs w:val="24"/>
              </w:rPr>
            </w:pPr>
          </w:p>
          <w:p w:rsidR="00235ACB" w:rsidRDefault="00235ACB" w:rsidP="00235ACB">
            <w:pPr>
              <w:pStyle w:val="ListParagraph"/>
              <w:numPr>
                <w:ilvl w:val="0"/>
                <w:numId w:val="11"/>
              </w:numPr>
              <w:suppressLineNumbers/>
              <w:suppressAutoHyphens/>
              <w:bidi w:val="0"/>
              <w:spacing w:before="23"/>
              <w:ind w:right="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 of compositional dependence on physicochemical properties of Bi</w:t>
            </w: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</w:t>
            </w: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doped system, Materials Science in Semiconductor Processing, 52 (2016)1–7, A. M. Adam, E. </w:t>
            </w:r>
            <w:proofErr w:type="spellStart"/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Lilov</w:t>
            </w:r>
            <w:proofErr w:type="spellEnd"/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P. </w:t>
            </w:r>
            <w:proofErr w:type="spellStart"/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Petkov</w:t>
            </w:r>
            <w:proofErr w:type="spellEnd"/>
            <w:r w:rsid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91DA8" w:rsidRPr="00B91DA8" w:rsidRDefault="00B91DA8" w:rsidP="00B91DA8">
            <w:pPr>
              <w:pStyle w:val="ListParagraph"/>
              <w:suppressLineNumbers/>
              <w:suppressAutoHyphens/>
              <w:bidi w:val="0"/>
              <w:spacing w:before="23"/>
              <w:ind w:right="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35ACB" w:rsidRPr="00B91DA8" w:rsidRDefault="003854C0" w:rsidP="00235ACB">
            <w:pPr>
              <w:pStyle w:val="ListParagraph"/>
              <w:numPr>
                <w:ilvl w:val="0"/>
                <w:numId w:val="11"/>
              </w:numPr>
              <w:suppressLineNumbers/>
              <w:suppressAutoHyphens/>
              <w:bidi w:val="0"/>
              <w:spacing w:before="23"/>
              <w:ind w:right="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Characterization and physical properties of 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(Bi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 xml:space="preserve">1 −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x</w:t>
            </w:r>
            <w:r w:rsidR="00F279F4"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Sb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x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)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Se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alloys prepared by a conventional melting technique,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 bulletin of bure and applied science. 2011.</w:t>
            </w:r>
          </w:p>
          <w:p w:rsidR="00B91DA8" w:rsidRPr="00B91DA8" w:rsidRDefault="00B91DA8" w:rsidP="00B91DA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91DA8" w:rsidRPr="00B91DA8" w:rsidRDefault="00B91DA8" w:rsidP="00B91DA8">
            <w:pPr>
              <w:pStyle w:val="ListParagraph"/>
              <w:suppressLineNumbers/>
              <w:suppressAutoHyphens/>
              <w:bidi w:val="0"/>
              <w:spacing w:before="23"/>
              <w:ind w:right="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35ACB" w:rsidRPr="00B91DA8" w:rsidRDefault="00235ACB" w:rsidP="00235ACB">
            <w:pPr>
              <w:pStyle w:val="ListParagraph"/>
              <w:numPr>
                <w:ilvl w:val="0"/>
                <w:numId w:val="11"/>
              </w:numPr>
              <w:suppressLineNumbers/>
              <w:suppressAutoHyphens/>
              <w:bidi w:val="0"/>
              <w:spacing w:before="23"/>
              <w:ind w:right="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A8">
              <w:rPr>
                <w:rFonts w:ascii="Times New Roman" w:eastAsia="Tahoma" w:hAnsi="Times New Roman" w:cs="Times New Roman"/>
                <w:b/>
              </w:rPr>
              <w:t xml:space="preserve">Optical and thermoelectric properties of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</w:rPr>
              <w:t>nano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</w:rPr>
              <w:t>-particles based Bi</w:t>
            </w:r>
            <w:r w:rsidRPr="00B91DA8">
              <w:rPr>
                <w:rFonts w:ascii="Times New Roman" w:eastAsia="Tahoma" w:hAnsi="Times New Roman" w:cs="Times New Roman"/>
                <w:b/>
                <w:vertAlign w:val="subscript"/>
              </w:rPr>
              <w:t>2</w:t>
            </w:r>
            <w:r w:rsidRPr="00B91DA8">
              <w:rPr>
                <w:rFonts w:ascii="Times New Roman" w:eastAsia="Tahoma" w:hAnsi="Times New Roman" w:cs="Times New Roman"/>
                <w:b/>
              </w:rPr>
              <w:t>(Te</w:t>
            </w:r>
            <w:r w:rsidRPr="00B91DA8">
              <w:rPr>
                <w:rFonts w:ascii="Times New Roman" w:eastAsia="Tahoma" w:hAnsi="Times New Roman" w:cs="Times New Roman"/>
                <w:b/>
                <w:vertAlign w:val="subscript"/>
              </w:rPr>
              <w:t>1-x</w:t>
            </w:r>
            <w:r w:rsidRPr="00B91DA8">
              <w:rPr>
                <w:rFonts w:ascii="Times New Roman" w:eastAsia="Tahoma" w:hAnsi="Times New Roman" w:cs="Times New Roman"/>
                <w:b/>
              </w:rPr>
              <w:t>Se</w:t>
            </w:r>
            <w:r w:rsidRPr="00B91DA8">
              <w:rPr>
                <w:rFonts w:ascii="Times New Roman" w:eastAsia="Tahoma" w:hAnsi="Times New Roman" w:cs="Times New Roman"/>
                <w:b/>
                <w:vertAlign w:val="subscript"/>
              </w:rPr>
              <w:t>x</w:t>
            </w:r>
            <w:r w:rsidRPr="00B91DA8">
              <w:rPr>
                <w:rFonts w:ascii="Times New Roman" w:eastAsia="Tahoma" w:hAnsi="Times New Roman" w:cs="Times New Roman"/>
                <w:b/>
              </w:rPr>
              <w:t>)</w:t>
            </w:r>
            <w:r w:rsidRPr="00B91DA8">
              <w:rPr>
                <w:rFonts w:ascii="Times New Roman" w:eastAsia="Tahoma" w:hAnsi="Times New Roman" w:cs="Times New Roman"/>
                <w:b/>
                <w:vertAlign w:val="subscript"/>
              </w:rPr>
              <w:t>3</w:t>
            </w:r>
            <w:r w:rsidRPr="00B91DA8">
              <w:rPr>
                <w:rFonts w:ascii="Times New Roman" w:eastAsia="Tahoma" w:hAnsi="Times New Roman" w:cs="Times New Roman"/>
                <w:b/>
              </w:rPr>
              <w:t xml:space="preserve"> thin films,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</w:rPr>
              <w:t>Superlattices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</w:rPr>
              <w:t xml:space="preserve"> and Microstructures 101 (2017) 609-624, A. M. Adam, E.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</w:rPr>
              <w:t>Lilov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</w:rPr>
              <w:t xml:space="preserve">, P.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</w:rPr>
              <w:t>Petkov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</w:rPr>
              <w:t>.</w:t>
            </w:r>
          </w:p>
          <w:p w:rsidR="00B91DA8" w:rsidRPr="00B91DA8" w:rsidRDefault="00B91DA8" w:rsidP="00B91DA8">
            <w:pPr>
              <w:pStyle w:val="ListParagraph"/>
              <w:suppressLineNumbers/>
              <w:suppressAutoHyphens/>
              <w:bidi w:val="0"/>
              <w:spacing w:before="23"/>
              <w:ind w:right="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35ACB" w:rsidRPr="00B91DA8" w:rsidRDefault="00235ACB" w:rsidP="00235ACB">
            <w:pPr>
              <w:pStyle w:val="ListParagraph"/>
              <w:numPr>
                <w:ilvl w:val="0"/>
                <w:numId w:val="11"/>
              </w:numPr>
              <w:suppressLineNumbers/>
              <w:suppressAutoHyphens/>
              <w:bidi w:val="0"/>
              <w:spacing w:before="23"/>
              <w:ind w:right="72"/>
              <w:rPr>
                <w:rFonts w:ascii="Times New Roman" w:eastAsia="Tahoma" w:hAnsi="Times New Roman" w:cs="Times New Roman"/>
                <w:b/>
              </w:rPr>
            </w:pPr>
            <w:r w:rsidRPr="00B91DA8">
              <w:rPr>
                <w:rFonts w:ascii="Times New Roman" w:eastAsia="Tahoma" w:hAnsi="Times New Roman" w:cs="Times New Roman"/>
                <w:b/>
              </w:rPr>
              <w:t xml:space="preserve">Characterization and optical properties of bismuth chalcogenide films prepared by pulsed laser deposition technique, Materials Science in Semiconductor Processing, 57 (2017) 210–219. A. M. Adam, E.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</w:rPr>
              <w:t>Lilov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</w:rPr>
              <w:t xml:space="preserve">, V.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</w:rPr>
              <w:t>Lilova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</w:rPr>
              <w:t xml:space="preserve">, P.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</w:rPr>
              <w:t>Petkov</w:t>
            </w:r>
            <w:proofErr w:type="spellEnd"/>
          </w:p>
          <w:p w:rsidR="0017435A" w:rsidRPr="00B91DA8" w:rsidRDefault="0017435A" w:rsidP="0017435A">
            <w:pPr>
              <w:jc w:val="right"/>
              <w:rPr>
                <w:rFonts w:ascii="Arial" w:eastAsia="Arial" w:hAnsi="Arial" w:cs="Arial"/>
                <w:b/>
                <w:bCs/>
                <w:spacing w:val="-6"/>
                <w:sz w:val="20"/>
              </w:rPr>
            </w:pP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D85330">
        <w:tc>
          <w:tcPr>
            <w:tcW w:w="2988" w:type="dxa"/>
          </w:tcPr>
          <w:p w:rsidR="0017435A" w:rsidRPr="00B91DA8" w:rsidRDefault="0017435A" w:rsidP="0017435A">
            <w:pPr>
              <w:suppressLineNumbers/>
              <w:suppressAutoHyphens/>
              <w:spacing w:before="23"/>
              <w:jc w:val="right"/>
              <w:rPr>
                <w:rFonts w:ascii="Arial" w:eastAsia="Arial" w:hAnsi="Arial" w:cs="Arial"/>
                <w:b/>
                <w:spacing w:val="-6"/>
                <w:sz w:val="24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Oral Presentations in Conferences</w:t>
            </w:r>
          </w:p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450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numPr>
                <w:ilvl w:val="0"/>
                <w:numId w:val="8"/>
              </w:numPr>
              <w:bidi w:val="0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V</w:t>
            </w: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  <w:vertAlign w:val="superscript"/>
              </w:rPr>
              <w:t>th</w:t>
            </w: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 international crystallographic symposium, Sofia, Bulgaria September 2014.</w:t>
            </w:r>
          </w:p>
          <w:p w:rsidR="0017435A" w:rsidRPr="00B91DA8" w:rsidRDefault="0017435A" w:rsidP="0017435A">
            <w:pPr>
              <w:numPr>
                <w:ilvl w:val="0"/>
                <w:numId w:val="8"/>
              </w:numPr>
              <w:bidi w:val="0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Nanoscience Advances in CBRN Agents Detection, Information and Energy Security,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Sozoplol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, Bulgaria June 2014.</w:t>
            </w:r>
          </w:p>
          <w:p w:rsidR="0017435A" w:rsidRPr="00B91DA8" w:rsidRDefault="0017435A" w:rsidP="0017435A">
            <w:pPr>
              <w:numPr>
                <w:ilvl w:val="0"/>
                <w:numId w:val="8"/>
              </w:numPr>
              <w:bidi w:val="0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lastRenderedPageBreak/>
              <w:t xml:space="preserve">The second conference of young researchers of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 University.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, EGYPT (2011). </w:t>
            </w:r>
          </w:p>
          <w:p w:rsidR="0017435A" w:rsidRPr="00B91DA8" w:rsidRDefault="0017435A" w:rsidP="0017435A">
            <w:pPr>
              <w:numPr>
                <w:ilvl w:val="0"/>
                <w:numId w:val="8"/>
              </w:numPr>
              <w:bidi w:val="0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Third conference of young researchers of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 University.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, EGYPT (2012). </w:t>
            </w:r>
          </w:p>
          <w:p w:rsidR="0017435A" w:rsidRPr="00B91DA8" w:rsidRDefault="0017435A" w:rsidP="0017435A">
            <w:pPr>
              <w:numPr>
                <w:ilvl w:val="0"/>
                <w:numId w:val="8"/>
              </w:numPr>
              <w:bidi w:val="0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The second international conference on new horizons in basic and applied science,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Hurghada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, Egypt, 1-6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Auguist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 2015.  </w:t>
            </w:r>
          </w:p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1136CE">
        <w:tc>
          <w:tcPr>
            <w:tcW w:w="10458" w:type="dxa"/>
            <w:gridSpan w:val="5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  <w:tr w:rsidR="00B91DA8" w:rsidRPr="00B91DA8" w:rsidTr="001136CE">
        <w:tc>
          <w:tcPr>
            <w:tcW w:w="2988" w:type="dxa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3"/>
              <w:rPr>
                <w:rFonts w:ascii="Arial" w:eastAsia="Arial" w:hAnsi="Arial" w:cs="Arial"/>
                <w:b/>
                <w:spacing w:val="-6"/>
                <w:sz w:val="18"/>
                <w:lang w:bidi="ar-EG"/>
              </w:rPr>
            </w:pPr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Posters</w:t>
            </w:r>
          </w:p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450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numPr>
                <w:ilvl w:val="0"/>
                <w:numId w:val="9"/>
              </w:numPr>
              <w:bidi w:val="0"/>
              <w:ind w:left="720" w:hanging="360"/>
              <w:rPr>
                <w:rFonts w:ascii="Times New Roman" w:eastAsia="Tahoma" w:hAnsi="Times New Roman" w:cs="Times New Roman"/>
                <w:b/>
                <w:sz w:val="24"/>
                <w:szCs w:val="24"/>
              </w:rPr>
            </w:pP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 xml:space="preserve">Intensive school on conservation science, </w:t>
            </w:r>
            <w:proofErr w:type="spellStart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Izmit</w:t>
            </w:r>
            <w:proofErr w:type="spellEnd"/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, Turkey, May 2014</w:t>
            </w:r>
          </w:p>
          <w:p w:rsidR="0017435A" w:rsidRPr="00B91DA8" w:rsidRDefault="0017435A" w:rsidP="0017435A">
            <w:pPr>
              <w:numPr>
                <w:ilvl w:val="0"/>
                <w:numId w:val="9"/>
              </w:numPr>
              <w:bidi w:val="0"/>
              <w:ind w:left="720" w:hanging="360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r w:rsidRPr="00B91DA8">
              <w:rPr>
                <w:rFonts w:ascii="Times New Roman" w:eastAsia="Tahoma" w:hAnsi="Times New Roman" w:cs="Times New Roman"/>
                <w:b/>
                <w:sz w:val="24"/>
                <w:szCs w:val="24"/>
              </w:rPr>
              <w:t>Intensive school on conservation science, Seville, Spain, June 2014</w:t>
            </w:r>
          </w:p>
          <w:p w:rsidR="0017435A" w:rsidRPr="00B91DA8" w:rsidRDefault="0017435A" w:rsidP="0017435A">
            <w:pPr>
              <w:numPr>
                <w:ilvl w:val="0"/>
                <w:numId w:val="9"/>
              </w:numPr>
              <w:bidi w:val="0"/>
              <w:ind w:left="720" w:hanging="360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v</w:t>
            </w: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international crystallographic symposium, Sofia, Bulgaria September 2014</w:t>
            </w:r>
          </w:p>
          <w:p w:rsidR="0017435A" w:rsidRPr="00B91DA8" w:rsidRDefault="0017435A" w:rsidP="0017435A">
            <w:pPr>
              <w:numPr>
                <w:ilvl w:val="0"/>
                <w:numId w:val="9"/>
              </w:numPr>
              <w:bidi w:val="0"/>
              <w:ind w:left="720" w:hanging="360"/>
              <w:rPr>
                <w:rFonts w:ascii="Arial" w:eastAsia="Arial" w:hAnsi="Arial" w:cs="Arial"/>
                <w:spacing w:val="-6"/>
                <w:sz w:val="20"/>
              </w:rPr>
            </w:pP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XII scientific poster session for young scientists, doctoral and full-time students, May, 22-nd, 2015, UCTM – Sofia, Bulgaria</w:t>
            </w:r>
          </w:p>
          <w:p w:rsidR="00186902" w:rsidRPr="00B91DA8" w:rsidRDefault="00186902" w:rsidP="00186902">
            <w:pPr>
              <w:numPr>
                <w:ilvl w:val="0"/>
                <w:numId w:val="8"/>
              </w:numPr>
              <w:bidi w:val="0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Nanoscience Advances in CBRN Agents Detection, Information and Energy Security, 29 May– 6 June 2014, </w:t>
            </w:r>
            <w:proofErr w:type="spellStart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Sozoplol</w:t>
            </w:r>
            <w:proofErr w:type="spellEnd"/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, Bulgaria </w:t>
            </w:r>
          </w:p>
          <w:p w:rsidR="00186902" w:rsidRPr="00B91DA8" w:rsidRDefault="00186902" w:rsidP="00186902">
            <w:pPr>
              <w:numPr>
                <w:ilvl w:val="0"/>
                <w:numId w:val="9"/>
              </w:numPr>
              <w:bidi w:val="0"/>
              <w:ind w:left="720" w:hanging="360"/>
              <w:rPr>
                <w:rFonts w:ascii="Arial" w:eastAsia="Arial" w:hAnsi="Arial" w:cs="Arial"/>
                <w:spacing w:val="-6"/>
                <w:sz w:val="20"/>
              </w:rPr>
            </w:pP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scientific day of faculty of science, April 20, 2016, </w:t>
            </w:r>
            <w:proofErr w:type="spellStart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Sohag</w:t>
            </w:r>
            <w:proofErr w:type="spellEnd"/>
            <w:r w:rsidRPr="00B91D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, Egypt</w:t>
            </w:r>
          </w:p>
        </w:tc>
      </w:tr>
      <w:tr w:rsidR="00B91DA8" w:rsidRPr="00B91DA8" w:rsidTr="001136CE">
        <w:tc>
          <w:tcPr>
            <w:tcW w:w="2988" w:type="dxa"/>
          </w:tcPr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3"/>
              <w:rPr>
                <w:rFonts w:ascii="Arial" w:eastAsia="Arial" w:hAnsi="Arial" w:cs="Arial"/>
                <w:b/>
                <w:spacing w:val="-6"/>
                <w:sz w:val="24"/>
              </w:rPr>
            </w:pPr>
            <w:proofErr w:type="spellStart"/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>Honours</w:t>
            </w:r>
            <w:proofErr w:type="spellEnd"/>
            <w:r w:rsidRPr="00B91DA8">
              <w:rPr>
                <w:rFonts w:ascii="Arial" w:eastAsia="Arial" w:hAnsi="Arial" w:cs="Arial"/>
                <w:b/>
                <w:spacing w:val="-6"/>
                <w:sz w:val="24"/>
              </w:rPr>
              <w:t xml:space="preserve"> and awards</w:t>
            </w:r>
          </w:p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450" w:type="dxa"/>
            <w:gridSpan w:val="2"/>
          </w:tcPr>
          <w:p w:rsidR="0017435A" w:rsidRPr="00B91DA8" w:rsidRDefault="0017435A" w:rsidP="0017435A">
            <w:pPr>
              <w:bidi w:val="0"/>
              <w:rPr>
                <w:lang w:bidi="ar-EG"/>
              </w:rPr>
            </w:pPr>
          </w:p>
        </w:tc>
        <w:tc>
          <w:tcPr>
            <w:tcW w:w="7020" w:type="dxa"/>
            <w:gridSpan w:val="2"/>
          </w:tcPr>
          <w:p w:rsidR="0017435A" w:rsidRPr="00B91DA8" w:rsidRDefault="0017435A" w:rsidP="0017435A">
            <w:pPr>
              <w:numPr>
                <w:ilvl w:val="0"/>
                <w:numId w:val="10"/>
              </w:numPr>
              <w:suppressLineNumbers/>
              <w:suppressAutoHyphens/>
              <w:bidi w:val="0"/>
              <w:spacing w:before="28" w:line="360" w:lineRule="auto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Certificate of appreciation and the shield of the Egyptian Syndicate of Scientific Professions for ranking the second of my class (Physics) in 2012.</w:t>
            </w:r>
          </w:p>
          <w:p w:rsidR="0017435A" w:rsidRPr="00B91DA8" w:rsidRDefault="0017435A" w:rsidP="0017435A">
            <w:pPr>
              <w:numPr>
                <w:ilvl w:val="0"/>
                <w:numId w:val="10"/>
              </w:numPr>
              <w:suppressLineNumbers/>
              <w:suppressAutoHyphens/>
              <w:bidi w:val="0"/>
              <w:spacing w:before="28" w:line="360" w:lineRule="auto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Erasmus Mundus international student's mobility research scholarship supported by the European Commission under the project MEDASTAR (Mediterranean Area for Science, Technology and Research), 2013.</w:t>
            </w:r>
          </w:p>
          <w:p w:rsidR="0017435A" w:rsidRPr="00B91DA8" w:rsidRDefault="0017435A" w:rsidP="0017435A">
            <w:pPr>
              <w:numPr>
                <w:ilvl w:val="0"/>
                <w:numId w:val="10"/>
              </w:numPr>
              <w:suppressLineNumbers/>
              <w:suppressAutoHyphens/>
              <w:bidi w:val="0"/>
              <w:spacing w:before="28" w:line="360" w:lineRule="auto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First class honor degree (MSc, Physics, 2011).</w:t>
            </w:r>
          </w:p>
          <w:p w:rsidR="008028A0" w:rsidRPr="00B91DA8" w:rsidRDefault="008028A0" w:rsidP="008028A0">
            <w:pPr>
              <w:numPr>
                <w:ilvl w:val="0"/>
                <w:numId w:val="10"/>
              </w:numPr>
              <w:suppressLineNumbers/>
              <w:suppressAutoHyphens/>
              <w:bidi w:val="0"/>
              <w:spacing w:before="28" w:line="360" w:lineRule="auto"/>
              <w:ind w:left="720" w:hanging="360"/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</w:pPr>
            <w:r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 xml:space="preserve">Open international grant competition of National University of Science and technology </w:t>
            </w:r>
            <w:r w:rsidR="00A90790" w:rsidRPr="00B91DA8">
              <w:rPr>
                <w:rFonts w:asciiTheme="majorBidi" w:eastAsia="Tahoma" w:hAnsiTheme="majorBidi" w:cstheme="majorBidi"/>
                <w:b/>
                <w:bCs/>
                <w:sz w:val="24"/>
                <w:szCs w:val="24"/>
              </w:rPr>
              <w:t>July, 2016</w:t>
            </w:r>
          </w:p>
          <w:p w:rsidR="0017435A" w:rsidRPr="00B91DA8" w:rsidRDefault="0017435A" w:rsidP="0017435A">
            <w:pPr>
              <w:suppressLineNumbers/>
              <w:suppressAutoHyphens/>
              <w:bidi w:val="0"/>
              <w:spacing w:before="23"/>
              <w:ind w:right="289"/>
              <w:rPr>
                <w:rFonts w:ascii="Arial" w:eastAsia="Arial" w:hAnsi="Arial" w:cs="Arial"/>
                <w:spacing w:val="-6"/>
                <w:sz w:val="20"/>
              </w:rPr>
            </w:pPr>
          </w:p>
        </w:tc>
      </w:tr>
    </w:tbl>
    <w:p w:rsidR="008527A4" w:rsidRPr="00B91DA8" w:rsidRDefault="008527A4" w:rsidP="0017435A">
      <w:pPr>
        <w:bidi w:val="0"/>
        <w:rPr>
          <w:lang w:bidi="ar-EG"/>
        </w:rPr>
      </w:pPr>
    </w:p>
    <w:sectPr w:rsidR="008527A4" w:rsidRPr="00B91DA8" w:rsidSect="001136CE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62" w:rsidRDefault="00073B62" w:rsidP="001267FE">
      <w:pPr>
        <w:spacing w:after="0" w:line="240" w:lineRule="auto"/>
      </w:pPr>
      <w:r>
        <w:separator/>
      </w:r>
    </w:p>
  </w:endnote>
  <w:endnote w:type="continuationSeparator" w:id="0">
    <w:p w:rsidR="00073B62" w:rsidRDefault="00073B62" w:rsidP="0012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62" w:rsidRDefault="00073B62" w:rsidP="001267FE">
      <w:pPr>
        <w:spacing w:after="0" w:line="240" w:lineRule="auto"/>
      </w:pPr>
      <w:r>
        <w:separator/>
      </w:r>
    </w:p>
  </w:footnote>
  <w:footnote w:type="continuationSeparator" w:id="0">
    <w:p w:rsidR="00073B62" w:rsidRDefault="00073B62" w:rsidP="00126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7D9" w:rsidRDefault="004117D9" w:rsidP="004117D9">
    <w:pPr>
      <w:pStyle w:val="Header"/>
      <w:bidi w:val="0"/>
      <w:rPr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7C4C"/>
    <w:multiLevelType w:val="multilevel"/>
    <w:tmpl w:val="A838E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284B7B"/>
    <w:multiLevelType w:val="multilevel"/>
    <w:tmpl w:val="FC9A2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150F11"/>
    <w:multiLevelType w:val="multilevel"/>
    <w:tmpl w:val="8398D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F12FC4"/>
    <w:multiLevelType w:val="multilevel"/>
    <w:tmpl w:val="8228A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5A5C57"/>
    <w:multiLevelType w:val="hybridMultilevel"/>
    <w:tmpl w:val="66CAD038"/>
    <w:lvl w:ilvl="0" w:tplc="87D0DD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C1EEA"/>
    <w:multiLevelType w:val="multilevel"/>
    <w:tmpl w:val="7DBAC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D5754D"/>
    <w:multiLevelType w:val="multilevel"/>
    <w:tmpl w:val="B7DCE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DD6608"/>
    <w:multiLevelType w:val="multilevel"/>
    <w:tmpl w:val="09E4C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A615C4"/>
    <w:multiLevelType w:val="multilevel"/>
    <w:tmpl w:val="72243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484DBB"/>
    <w:multiLevelType w:val="multilevel"/>
    <w:tmpl w:val="AE128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01729E"/>
    <w:multiLevelType w:val="multilevel"/>
    <w:tmpl w:val="BF162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196C69"/>
    <w:multiLevelType w:val="hybridMultilevel"/>
    <w:tmpl w:val="D5081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73"/>
    <w:rsid w:val="00013A73"/>
    <w:rsid w:val="00054AF4"/>
    <w:rsid w:val="00073B62"/>
    <w:rsid w:val="001136CE"/>
    <w:rsid w:val="001267FE"/>
    <w:rsid w:val="0017435A"/>
    <w:rsid w:val="00186902"/>
    <w:rsid w:val="001D4387"/>
    <w:rsid w:val="002013BD"/>
    <w:rsid w:val="00210AD9"/>
    <w:rsid w:val="00235ACB"/>
    <w:rsid w:val="0024646C"/>
    <w:rsid w:val="00337564"/>
    <w:rsid w:val="0037659E"/>
    <w:rsid w:val="003854C0"/>
    <w:rsid w:val="003A027C"/>
    <w:rsid w:val="003E652F"/>
    <w:rsid w:val="004117D9"/>
    <w:rsid w:val="004B3809"/>
    <w:rsid w:val="00506A8E"/>
    <w:rsid w:val="007A7EF9"/>
    <w:rsid w:val="007B6B26"/>
    <w:rsid w:val="007D0267"/>
    <w:rsid w:val="008028A0"/>
    <w:rsid w:val="00810A5A"/>
    <w:rsid w:val="00825266"/>
    <w:rsid w:val="00833CF9"/>
    <w:rsid w:val="008527A4"/>
    <w:rsid w:val="00885A56"/>
    <w:rsid w:val="008960A3"/>
    <w:rsid w:val="008E1C5F"/>
    <w:rsid w:val="00902079"/>
    <w:rsid w:val="009166AE"/>
    <w:rsid w:val="0095248A"/>
    <w:rsid w:val="009B6440"/>
    <w:rsid w:val="00A36F6A"/>
    <w:rsid w:val="00A51C05"/>
    <w:rsid w:val="00A5306A"/>
    <w:rsid w:val="00A839BD"/>
    <w:rsid w:val="00A873D2"/>
    <w:rsid w:val="00A90790"/>
    <w:rsid w:val="00AB6253"/>
    <w:rsid w:val="00AC0D4F"/>
    <w:rsid w:val="00AF47B4"/>
    <w:rsid w:val="00B91DA8"/>
    <w:rsid w:val="00C1284D"/>
    <w:rsid w:val="00C86A71"/>
    <w:rsid w:val="00CA4E55"/>
    <w:rsid w:val="00D05593"/>
    <w:rsid w:val="00D16974"/>
    <w:rsid w:val="00D2786F"/>
    <w:rsid w:val="00D755FE"/>
    <w:rsid w:val="00D85330"/>
    <w:rsid w:val="00DB03C3"/>
    <w:rsid w:val="00E25F34"/>
    <w:rsid w:val="00ED3BA7"/>
    <w:rsid w:val="00EE6000"/>
    <w:rsid w:val="00F2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797E"/>
  <w15:docId w15:val="{4134D9B2-FC96-4112-9BF1-A904A6F4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786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A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13A7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267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7FE"/>
  </w:style>
  <w:style w:type="paragraph" w:styleId="Footer">
    <w:name w:val="footer"/>
    <w:basedOn w:val="Normal"/>
    <w:link w:val="FooterChar"/>
    <w:uiPriority w:val="99"/>
    <w:semiHidden/>
    <w:unhideWhenUsed/>
    <w:rsid w:val="001267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7FE"/>
  </w:style>
  <w:style w:type="paragraph" w:styleId="BalloonText">
    <w:name w:val="Balloon Text"/>
    <w:basedOn w:val="Normal"/>
    <w:link w:val="BalloonTextChar"/>
    <w:uiPriority w:val="99"/>
    <w:semiHidden/>
    <w:unhideWhenUsed/>
    <w:rsid w:val="0012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B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17D9"/>
    <w:rPr>
      <w:i/>
      <w:iCs/>
    </w:rPr>
  </w:style>
  <w:style w:type="character" w:styleId="Hyperlink">
    <w:name w:val="Hyperlink"/>
    <w:basedOn w:val="DefaultParagraphFont"/>
    <w:uiPriority w:val="99"/>
    <w:unhideWhenUsed/>
    <w:rsid w:val="00411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a.mohamed@science.sohag.edu.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5</cp:revision>
  <cp:lastPrinted>2017-02-22T21:54:00Z</cp:lastPrinted>
  <dcterms:created xsi:type="dcterms:W3CDTF">2017-02-22T20:51:00Z</dcterms:created>
  <dcterms:modified xsi:type="dcterms:W3CDTF">2017-02-25T20:34:00Z</dcterms:modified>
</cp:coreProperties>
</file>