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Calibri" w:hAnsi="Calibri" w:eastAsia="Microsoft YaHei"/>
          <w:b/>
          <w:color w:val="147D46"/>
          <w:sz w:val="20"/>
        </w:rPr>
        <w:t>PRODUCT REQUIREMENTS DOCUMENT · RESTRUCTURED</w:t>
      </w:r>
    </w:p>
    <w:p>
      <w:pPr>
        <w:pStyle w:val="Title"/>
      </w:pPr>
      <w:r>
        <w:t>CreatiSignal GMV Max 素材诊断闭环</w:t>
      </w:r>
    </w:p>
    <w:p>
      <w:pPr>
        <w:pStyle w:val="Subtitle"/>
      </w:pPr>
      <w:r>
        <w:t>以可解释诊断为入口，以可审计执行与结果回流为终点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版本：</w:t>
      </w:r>
      <w:r>
        <w:rPr>
          <w:rFonts w:ascii="Calibri" w:hAnsi="Calibri" w:eastAsia="Microsoft YaHei"/>
          <w:color w:val="17181C"/>
          <w:sz w:val="22"/>
        </w:rPr>
        <w:t>V2.0（基于领导 AI 初稿重构）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日期：</w:t>
      </w:r>
      <w:r>
        <w:rPr>
          <w:rFonts w:ascii="Calibri" w:hAnsi="Calibri" w:eastAsia="Microsoft YaHei"/>
          <w:color w:val="17181C"/>
          <w:sz w:val="22"/>
        </w:rPr>
        <w:t>2026-08-31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目标读者：</w:t>
      </w:r>
      <w:r>
        <w:rPr>
          <w:rFonts w:ascii="Calibri" w:hAnsi="Calibri" w:eastAsia="Microsoft YaHei"/>
          <w:color w:val="17181C"/>
          <w:sz w:val="22"/>
        </w:rPr>
        <w:t>产品、数据、算法、前端、后端、测试、TikTok Shop GMV Max 投放 AO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文档状态：</w:t>
      </w:r>
      <w:r>
        <w:rPr>
          <w:rFonts w:ascii="Calibri" w:hAnsi="Calibri" w:eastAsia="Microsoft YaHei"/>
          <w:color w:val="17181C"/>
          <w:sz w:val="22"/>
        </w:rPr>
        <w:t>可用于技术方案评审；平台接口、归因口径与阈值仍需业务/数据 Owner 确认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产品范围：</w:t>
      </w:r>
      <w:r>
        <w:rPr>
          <w:rFonts w:ascii="Calibri" w:hAnsi="Calibri" w:eastAsia="Microsoft YaHei"/>
          <w:color w:val="17181C"/>
          <w:sz w:val="22"/>
        </w:rPr>
        <w:t>经营总览 → 素材诊断 → 创意生成/动作配置 → 投放中心 → 任务与结果回流</w:t>
      </w:r>
    </w:p>
    <w:p>
      <w:pPr>
        <w:spacing w:before="80" w:after="160"/>
        <w:ind w:left="173" w:right="173"/>
        <w:shd w:fill="F2FFD9"/>
        <w:pBdr>
          <w:left w:val="single" w:sz="14" w:space="8" w:color="147D46"/>
        </w:pBdr>
      </w:pPr>
      <w:r>
        <w:rPr>
          <w:rFonts w:ascii="Calibri" w:hAnsi="Calibri" w:eastAsia="Microsoft YaHei"/>
          <w:b/>
          <w:color w:val="147D46"/>
          <w:sz w:val="21"/>
        </w:rPr>
        <w:t xml:space="preserve">一句话结论  </w:t>
      </w:r>
      <w:r>
        <w:rPr>
          <w:rFonts w:ascii="Calibri" w:hAnsi="Calibri" w:eastAsia="Microsoft YaHei"/>
          <w:color w:val="17181C"/>
          <w:sz w:val="21"/>
        </w:rPr>
        <w:t>原稿覆盖面很全，但把业务规则、原型交互、Demo 数据和工程实现混在了一起。重构后采用“一套诊断对象、一条闭环主流程、六个用户结果、三类动作分支”，并把口径、优先级、状态机和验收条件单独定义。</w:t>
      </w:r>
    </w:p>
    <w:p>
      <w:pPr>
        <w:pStyle w:val="Heading1"/>
      </w:pPr>
      <w:r>
        <w:t>阅读导航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60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章节</w:t>
            </w:r>
          </w:p>
        </w:tc>
        <w:tc>
          <w:tcPr>
            <w:tcW w:type="dxa" w:w="6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先看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 1–4 章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背景、原稿问题、目标边界、业务闭环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产品/设计</w:t>
            </w:r>
          </w:p>
        </w:tc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 5–7 章</w:t>
            </w:r>
          </w:p>
        </w:tc>
        <w:tc>
          <w:tcPr>
            <w:tcW w:type="dxa" w:w="6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诊断模型、功能清单、逐功能需求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数据/算法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 5、8 章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指标公式、样本门槛、Benchmark、数据实体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工程/测试</w:t>
            </w:r>
          </w:p>
        </w:tc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 8–11 章</w:t>
            </w:r>
          </w:p>
        </w:tc>
        <w:tc>
          <w:tcPr>
            <w:tcW w:type="dxa" w:w="6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状态机、接口契约、优先级、验收标准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评审决策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 12 章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仍需确认的业务口径与平台能力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1. 重构结论与关键改动</w:t>
      </w:r>
    </w:p>
    <w:p>
      <w:pPr>
        <w:spacing w:before="80" w:after="160"/>
        <w:ind w:left="173" w:right="173"/>
        <w:shd w:fill="EAF4FF"/>
        <w:pBdr>
          <w:left w:val="single" w:sz="14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推荐结构  </w:t>
      </w:r>
      <w:r>
        <w:rPr>
          <w:rFonts w:ascii="Calibri" w:hAnsi="Calibri" w:eastAsia="Microsoft YaHei"/>
          <w:color w:val="17181C"/>
          <w:sz w:val="21"/>
        </w:rPr>
        <w:t>诊断结果不是六套互不相干的产品流程。系统先完成数据资格校验与归因保护，再输出一个诊断快照；结果只决定主动作是放量、保持、观察、迭代、换新或关停。生成、配置、发布、观察和回流均复用统一任务与审计能力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900"/>
        <w:gridCol w:w="38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原稿问题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3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修订原则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六类结果各走独立步骤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重复状态与交互，后端难维护，规则容易冲突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一条主流程 + 生成/监控/关停三类动作分支；六类仅是用户结果</w:t>
            </w:r>
          </w:p>
        </w:tc>
      </w:tr>
      <w:tr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商品、素材、账户混作诊断主体</w:t>
            </w:r>
          </w:p>
        </w:tc>
        <w:tc>
          <w:tcPr>
            <w:tcW w:type="dxa" w:w="2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同一素材跨商品/账户时结论失真</w:t>
            </w:r>
          </w:p>
        </w:tc>
        <w:tc>
          <w:tcPr>
            <w:tcW w:type="dxa" w:w="3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主诊断键固定为店铺×账户×商品×素材×投放上下文×时间窗；商品列表只做聚合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ROI 与 ROAS 混用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公式看似正确但指标含义不一致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产品字段保留 target_roi 兼容平台命名，指标字典明确其口径为 Revenue/Spend；展示层可写“目标 ROI（平台口径）”</w:t>
            </w:r>
          </w:p>
        </w:tc>
      </w:tr>
      <w:tr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阈值写死在 PRD/Demo 中</w:t>
            </w:r>
          </w:p>
        </w:tc>
        <w:tc>
          <w:tcPr>
            <w:tcW w:type="dxa" w:w="2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无法调参、回溯与解释历史结论</w:t>
            </w:r>
          </w:p>
        </w:tc>
        <w:tc>
          <w:tcPr>
            <w:tcW w:type="dxa" w:w="3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所有阈值进入版本化规则集 rule_version；V2.0 只给 MVP 默认建议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样本成熟条件过于宽松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短时间高消耗或少量订单被误判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数据完整 + Active≥24h +（Orders≥5 或 Spend≥2×Target CPO）才进入强动作判断</w:t>
            </w:r>
          </w:p>
        </w:tc>
      </w:tr>
      <w:tr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Benchmark 不足时直接扩品类</w:t>
            </w:r>
          </w:p>
        </w:tc>
        <w:tc>
          <w:tcPr>
            <w:tcW w:type="dxa" w:w="2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可比性下降却仍给同等置信度</w:t>
            </w:r>
          </w:p>
        </w:tc>
        <w:tc>
          <w:tcPr>
            <w:tcW w:type="dxa" w:w="3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分层回退并输出 benchmark_level、sample_size、confidence；低置信度禁止关停/强放量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预计 GMV 影响未定义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排序结果不可复现，容易与真实 GMV 混淆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 使用可解释的风险/机会分；预测金额后置 P2，必须标“预估”并记录 model_version</w:t>
            </w:r>
          </w:p>
        </w:tc>
      </w:tr>
      <w:tr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创建成功等同投放成功</w:t>
            </w:r>
          </w:p>
        </w:tc>
        <w:tc>
          <w:tcPr>
            <w:tcW w:type="dxa" w:w="2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有广告 ID 但未审核/未消耗也会显示成功</w:t>
            </w:r>
          </w:p>
        </w:tc>
        <w:tc>
          <w:tcPr>
            <w:tcW w:type="dxa" w:w="3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拆分创建状态与投放生命周期；保留 raw platform_status 及原因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关停等同删除素材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不可恢复且可能影响其他商品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仅对当前投放关系创建可恢复的停用/移出建议，二次确认并记录影响范围</w:t>
            </w:r>
          </w:p>
        </w:tc>
      </w:tr>
      <w:tr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大表同时描述目标、UI、Demo 和数据</w:t>
            </w:r>
          </w:p>
        </w:tc>
        <w:tc>
          <w:tcPr>
            <w:tcW w:type="dxa" w:w="2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工程师难找到真正约束，测试无法逐条验收</w:t>
            </w:r>
          </w:p>
        </w:tc>
        <w:tc>
          <w:tcPr>
            <w:tcW w:type="dxa" w:w="3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按业务规则、功能需求、数据模型、状态机、验收矩阵分别编排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1.1 本版保留的核心价值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AO 在经营总览中知道今天优先处理哪个商品、原因是什么、预计影响方向如何。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从商品经营问题进入素材诊断后，平台、店铺、账户、国家、商品与时间窗保持一致。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每个诊断快照只给一个主结果与一个主动作，证据、规则版本和数据时间可追溯。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任何修改投放、目标、预算或停用关系的动作均由 AO 确认，不进行静默自动执行。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只有投放后的观测窗口与样本门槛同时满足，才能验收并回写下一轮诊断。</w:t>
      </w:r>
    </w:p>
    <w:p>
      <w:pPr>
        <w:pStyle w:val="Heading2"/>
      </w:pPr>
      <w:r>
        <w:t>1.2 当前仓库实现基线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当前 Insights 页面主要基于本地 mock 数据和固定 ROI 阈值：账户状态为可放量/学习中/需改写/已停用，实验页按 ROI 2.0、1.3、0.8 等固定阈值判定；尚未形成产品×素材×投放上下文的诊断快照、规则版本、Benchmark 置信度、投放草稿和回流实体。</w:t>
      </w:r>
    </w:p>
    <w:p>
      <w:pPr>
        <w:spacing w:before="80" w:after="160"/>
        <w:ind w:left="173" w:right="173"/>
        <w:shd w:fill="FFF4E5"/>
        <w:pBdr>
          <w:left w:val="single" w:sz="14" w:space="8" w:color="A15C00"/>
        </w:pBdr>
      </w:pPr>
      <w:r>
        <w:rPr>
          <w:rFonts w:ascii="Calibri" w:hAnsi="Calibri" w:eastAsia="Microsoft YaHei"/>
          <w:b/>
          <w:color w:val="A15C00"/>
          <w:sz w:val="21"/>
        </w:rPr>
        <w:t xml:space="preserve">工程约束  </w:t>
      </w:r>
      <w:r>
        <w:rPr>
          <w:rFonts w:ascii="Calibri" w:hAnsi="Calibri" w:eastAsia="Microsoft YaHei"/>
          <w:color w:val="17181C"/>
          <w:sz w:val="21"/>
        </w:rPr>
        <w:t>前端不得继续直接计算正式诊断结论。P0 应先定义服务端/领域层的指标与规则输出，前端只渲染结果、证据与允许动作；Demo 数值不得成为生产默认值。</w:t>
      </w:r>
    </w:p>
    <w:p>
      <w:r>
        <w:br w:type="page"/>
      </w:r>
    </w:p>
    <w:p>
      <w:pPr>
        <w:pStyle w:val="Heading1"/>
      </w:pPr>
      <w:r>
        <w:t>2. 背景、问题与目标</w:t>
      </w:r>
    </w:p>
    <w:p>
      <w:pPr>
        <w:pStyle w:val="Heading2"/>
      </w:pPr>
      <w:r>
        <w:t>2.1 业务背景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TikTok Shop GMV Max 将商品、素材池、预算与目标回报共同参与投放。运营人员可以看到大量经营与素材指标，但当前页面能力彼此割裂：发现经营异常后，仍需人工跨页面寻找问题素材、判断是否属于素材原因、安排创意处理，再单独记录投放结果。这个过程耗时、不可复盘，也难以形成稳定规则。</w:t>
      </w:r>
    </w:p>
    <w:p>
      <w:pPr>
        <w:pStyle w:val="Heading2"/>
      </w:pPr>
      <w:r>
        <w:t>2.2 目标用户与核心任务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用户</w:t>
            </w:r>
          </w:p>
        </w:tc>
        <w:tc>
          <w:tcPr>
            <w:tcW w:type="dxa" w:w="3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主要职责</w:t>
            </w:r>
          </w:p>
        </w:tc>
        <w:tc>
          <w:tcPr>
            <w:tcW w:type="dxa" w:w="4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产品支持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AO / 投放负责人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决定优先处理对象，确认预算、目标和停用动作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今日处理队列、诊断证据、投放草稿、结果回流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素材负责人</w:t>
            </w:r>
          </w:p>
        </w:tc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理解需要改变的变量并获得可执行 brief</w:t>
            </w:r>
          </w:p>
        </w:tc>
        <w:tc>
          <w:tcPr>
            <w:tcW w:type="dxa" w:w="4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迭代变量、参考素材、生成结果、版本关系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数据/算法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维护口径、Benchmark 与规则版本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指标快照、样本置信度、模型/规则版本、误判反馈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管理者</w:t>
            </w:r>
          </w:p>
        </w:tc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查看闭环效率与动作收益</w:t>
            </w:r>
          </w:p>
        </w:tc>
        <w:tc>
          <w:tcPr>
            <w:tcW w:type="dxa" w:w="4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任务进度、验证率、胜出率、阻塞原因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2.3 产品目标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30 秒内回答：今天先处理哪个商品、为什么、下一步做什么。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把经营信号定位到可解释的 Product × Creative 诊断快照，并区分素材问题与非素材问题。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把诊断结论转换为可执行任务：生成/复刻、监控复查、投放配置或可恢复关停。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所有外部写操作均经过人工确认、幂等执行、状态跟踪与审计。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用统一观测窗口比较原素材与新素材/新配置，并将结果回写下一轮决策。</w:t>
      </w:r>
    </w:p>
    <w:p>
      <w:pPr>
        <w:pStyle w:val="Heading2"/>
      </w:pPr>
      <w:r>
        <w:t>2.4 本期非目标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不做素材级独立竞价；预算与目标仍属于商品计划/GMV Max 配置。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不自动修改预算、Target ROI、素材关系或关停计划；系统只生成建议与待确认草稿。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不把价格、折扣、库存、毛利、授权、账户或店铺状态错误归因成素材问题。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不承诺仅凭 CTR/CVR/ROI 能给出因果结论；产品输出为规则性建议和证据，不声称统计因果。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P0 不建设黑盒 GMV 预测模型、多级审批、批量自动化与跨组织权限系统。</w:t>
      </w:r>
    </w:p>
    <w:p>
      <w:pPr>
        <w:pStyle w:val="Heading2"/>
      </w:pPr>
      <w:r>
        <w:t>2.5 成功指标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600"/>
        <w:gridCol w:w="32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4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3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建议目标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效率</w:t>
            </w:r>
          </w:p>
        </w:tc>
        <w:tc>
          <w:tcPr>
            <w:tcW w:type="dxa" w:w="4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从经营总览进入可执行动作的中位时长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上线前埋点建立基线；P0 目标较基线下降 ≥30%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解释性</w:t>
            </w:r>
          </w:p>
        </w:tc>
        <w:tc>
          <w:tcPr>
            <w:tcW w:type="dxa" w:w="4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诊断快照具备完整证据、规则版本、数据时间的比例</w:t>
            </w:r>
          </w:p>
        </w:tc>
        <w:tc>
          <w:tcPr>
            <w:tcW w:type="dxa" w:w="3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≥99%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闭环率</w:t>
            </w:r>
          </w:p>
        </w:tc>
        <w:tc>
          <w:tcPr>
            <w:tcW w:type="dxa" w:w="4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已执行任务中完成观测并回写结果的比例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P1 上线 4 周后 ≥70%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安全性</w:t>
            </w:r>
          </w:p>
        </w:tc>
        <w:tc>
          <w:tcPr>
            <w:tcW w:type="dxa" w:w="4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未经确认发生的外部写操作</w:t>
            </w:r>
          </w:p>
        </w:tc>
        <w:tc>
          <w:tcPr>
            <w:tcW w:type="dxa" w:w="3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稳定性</w:t>
            </w:r>
          </w:p>
        </w:tc>
        <w:tc>
          <w:tcPr>
            <w:tcW w:type="dxa" w:w="4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重复请求造成重复草稿/重复发布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0；幂等校验覆盖 100% 写操作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可追溯</w:t>
            </w:r>
          </w:p>
        </w:tc>
        <w:tc>
          <w:tcPr>
            <w:tcW w:type="dxa" w:w="4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动作记录包含 operator/before/after/request_id/platform_response</w:t>
            </w:r>
          </w:p>
        </w:tc>
        <w:tc>
          <w:tcPr>
            <w:tcW w:type="dxa" w:w="3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100%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3. 核心对象、术语与口径</w:t>
      </w:r>
    </w:p>
    <w:p>
      <w:pPr>
        <w:pStyle w:val="Heading2"/>
      </w:pPr>
      <w:r>
        <w:t>3.1 诊断对象与聚合层级</w:t>
      </w:r>
    </w:p>
    <w:p>
      <w:pPr>
        <w:spacing w:before="40" w:after="100"/>
        <w:ind w:left="230" w:right="115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诊断主键  </w:t>
      </w:r>
      <w:r>
        <w:rPr>
          <w:rFonts w:ascii="Consolas" w:hAnsi="Consolas" w:eastAsia="Microsoft YaHei"/>
          <w:b/>
          <w:color w:val="17181C"/>
          <w:sz w:val="21"/>
        </w:rPr>
        <w:t>shop_id × account_id × product_id × creative_id × delivery_context × window</w:t>
      </w:r>
      <w:r>
        <w:rPr>
          <w:rFonts w:ascii="Calibri" w:hAnsi="Calibri" w:eastAsia="Microsoft YaHei"/>
          <w:color w:val="667085"/>
          <w:sz w:val="19"/>
        </w:rPr>
        <w:br/>
        <w:t>campaign/adgroup 等平台层级按实际接入能力放入 delivery_context。相同 creative_id 在不同商品、账户或计划下必须分别诊断。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经营总览以商品为展示粒度，但商品行只是多个诊断快照的聚合。点击进入详情后，必须落到明确的素材-商品-投放上下文，不能用素材全局均值代替。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000"/>
        <w:gridCol w:w="5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2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定位</w:t>
            </w:r>
          </w:p>
        </w:tc>
        <w:tc>
          <w:tcPr>
            <w:tcW w:type="dxa" w:w="54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关键约束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Product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商品/SKU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承载目标 ROI、AOV、库存/Offer 等商品条件</w:t>
            </w:r>
          </w:p>
        </w:tc>
      </w:tr>
      <w:t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Creative</w:t>
            </w:r>
          </w:p>
        </w:tc>
        <w:tc>
          <w:tcPr>
            <w:tcW w:type="dxa" w:w="2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视频/图片素材</w:t>
            </w:r>
          </w:p>
        </w:tc>
        <w:tc>
          <w:tcPr>
            <w:tcW w:type="dxa" w:w="54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保留平台素材 ID、指纹、来源、版本与可投状态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Delivery context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账户/计划/广告组/国家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决定指标口径、素材关系与写操作影响范围</w:t>
            </w:r>
          </w:p>
        </w:tc>
      </w:tr>
      <w:t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Diagnosis snapshot</w:t>
            </w:r>
          </w:p>
        </w:tc>
        <w:tc>
          <w:tcPr>
            <w:tcW w:type="dxa" w:w="2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不可变诊断快照</w:t>
            </w:r>
          </w:p>
        </w:tc>
        <w:tc>
          <w:tcPr>
            <w:tcW w:type="dxa" w:w="54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冻结指标、Benchmark、规则版本、结果、证据与允许动作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Action intent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待执行动作意图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承接放量、保持、观察、迭代、换新、关停中的唯一主动作</w:t>
            </w:r>
          </w:p>
        </w:tc>
      </w:tr>
      <w:t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Delivery draft</w:t>
            </w:r>
          </w:p>
        </w:tc>
        <w:tc>
          <w:tcPr>
            <w:tcW w:type="dxa" w:w="2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待发布配置</w:t>
            </w:r>
          </w:p>
        </w:tc>
        <w:tc>
          <w:tcPr>
            <w:tcW w:type="dxa" w:w="54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保存目标、预算、素材清单、观察与止损规则，不等同平台已创建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Validation result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观测结果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比较执行前后/原素材与变体，形成 winner 与下一动作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3.2 指标术语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100"/>
        <w:gridCol w:w="426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3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计算</w:t>
            </w:r>
          </w:p>
        </w:tc>
        <w:tc>
          <w:tcPr>
            <w:tcW w:type="dxa" w:w="4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空值/口径规则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Spend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归因窗口内消耗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货币统一后聚合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Gross revenue</w:t>
            </w:r>
          </w:p>
        </w:tc>
        <w:tc>
          <w:tcPr>
            <w:tcW w:type="dxa" w:w="3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归因窗口内 GMV/成交金额</w:t>
            </w:r>
          </w:p>
        </w:tc>
        <w:tc>
          <w:tcPr>
            <w:tcW w:type="dxa" w:w="4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明确是否含退款、取消与自然成交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CTR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Clicks / Impressions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Impressions=0 时为 null，不显示 0%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CVR</w:t>
            </w:r>
          </w:p>
        </w:tc>
        <w:tc>
          <w:tcPr>
            <w:tcW w:type="dxa" w:w="3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Orders / Clicks</w:t>
            </w:r>
          </w:p>
        </w:tc>
        <w:tc>
          <w:tcPr>
            <w:tcW w:type="dxa" w:w="4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Clicks=0 时为 null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AOV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Gross revenue / Orders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Orders=0 时为 null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ROI（平台口径）</w:t>
            </w:r>
          </w:p>
        </w:tc>
        <w:tc>
          <w:tcPr>
            <w:tcW w:type="dxa" w:w="3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Gross revenue / Spend</w:t>
            </w:r>
          </w:p>
        </w:tc>
        <w:tc>
          <w:tcPr>
            <w:tcW w:type="dxa" w:w="4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数学上等价 ROAS 类口径；全产品统一叫法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Target CPO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Expected AOV / Target ROI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仅在 Target ROI&gt;0 且 Expected AOV 可用时计算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Index</w:t>
            </w:r>
          </w:p>
        </w:tc>
        <w:tc>
          <w:tcPr>
            <w:tcW w:type="dxa" w:w="3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Actual / Benchmark 或 Actual / Target</w:t>
            </w:r>
          </w:p>
        </w:tc>
        <w:tc>
          <w:tcPr>
            <w:tcW w:type="dxa" w:w="4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分子分母必须同时间窗、国家、币种与归因口径</w:t>
            </w:r>
          </w:p>
        </w:tc>
      </w:tr>
    </w:tbl>
    <w:p>
      <w:pPr>
        <w:spacing w:before="0" w:after="120"/>
      </w:pPr>
    </w:p>
    <w:p>
      <w:pPr>
        <w:spacing w:before="80" w:after="160"/>
        <w:ind w:left="173" w:right="173"/>
        <w:shd w:fill="FFF4E5"/>
        <w:pBdr>
          <w:left w:val="single" w:sz="14" w:space="8" w:color="A15C00"/>
        </w:pBdr>
      </w:pPr>
      <w:r>
        <w:rPr>
          <w:rFonts w:ascii="Calibri" w:hAnsi="Calibri" w:eastAsia="Microsoft YaHei"/>
          <w:b/>
          <w:color w:val="A15C00"/>
          <w:sz w:val="21"/>
        </w:rPr>
        <w:t xml:space="preserve">必须确认  </w:t>
      </w:r>
      <w:r>
        <w:rPr>
          <w:rFonts w:ascii="Calibri" w:hAnsi="Calibri" w:eastAsia="Microsoft YaHei"/>
          <w:color w:val="17181C"/>
          <w:sz w:val="21"/>
        </w:rPr>
        <w:t>原稿把 ROI、ROAS、Target ROI 混用。若平台字段名固定为 Target ROI，可在接口层保留原名，但数据字典必须写明其分子分母，前端不能在不同页面切换语义。</w:t>
      </w:r>
    </w:p>
    <w:p>
      <w:r>
        <w:br w:type="page"/>
      </w:r>
    </w:p>
    <w:p>
      <w:pPr>
        <w:pStyle w:val="Heading1"/>
      </w:pPr>
      <w:r>
        <w:t>4. 业务整体逻辑（闭环流程）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所有业务分支共享以下主干。任何一步产生的数据快照、动作意图与状态变更都必须可追溯。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选择上下文：</w:t>
      </w:r>
      <w:r>
        <w:rPr>
          <w:rFonts w:ascii="Calibri" w:hAnsi="Calibri" w:eastAsia="Microsoft YaHei"/>
          <w:color w:val="17181C"/>
          <w:sz w:val="22"/>
        </w:rPr>
        <w:t>AO 选择平台、店铺、账户、国家与时间范围；系统返回 data_as_of 与时区。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经营聚合与排队：</w:t>
      </w:r>
      <w:r>
        <w:rPr>
          <w:rFonts w:ascii="Calibri" w:hAnsi="Calibri" w:eastAsia="Microsoft YaHei"/>
          <w:color w:val="17181C"/>
          <w:sz w:val="22"/>
        </w:rPr>
        <w:t>按商品聚合 GMV/Spend/ROI、素材供给与异常信号，输出今日处理队列。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数据资格校验：</w:t>
      </w:r>
      <w:r>
        <w:rPr>
          <w:rFonts w:ascii="Calibri" w:hAnsi="Calibri" w:eastAsia="Microsoft YaHei"/>
          <w:color w:val="17181C"/>
          <w:sz w:val="22"/>
        </w:rPr>
        <w:t>检查数据完整性、延迟、归因窗口、样本门槛与 Benchmark 置信度；不合格直接进入待观察。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归因保护：</w:t>
      </w:r>
      <w:r>
        <w:rPr>
          <w:rFonts w:ascii="Calibri" w:hAnsi="Calibri" w:eastAsia="Microsoft YaHei"/>
          <w:color w:val="17181C"/>
          <w:sz w:val="22"/>
        </w:rPr>
        <w:t>当素材漏斗指标正常而 ROI 不达标，检查 AOV、Offer、库存、毛利/目标、账户或平台状态；命中后禁止素材动作。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生成诊断快照：</w:t>
      </w:r>
      <w:r>
        <w:rPr>
          <w:rFonts w:ascii="Calibri" w:hAnsi="Calibri" w:eastAsia="Microsoft YaHei"/>
          <w:color w:val="17181C"/>
          <w:sz w:val="22"/>
        </w:rPr>
        <w:t>冻结 Product × Creative × Context 的实际值、基准、Index、趋势、规则版本与唯一主结果。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创建唯一主动作：</w:t>
      </w:r>
      <w:r>
        <w:rPr>
          <w:rFonts w:ascii="Calibri" w:hAnsi="Calibri" w:eastAsia="Microsoft YaHei"/>
          <w:color w:val="17181C"/>
          <w:sz w:val="22"/>
        </w:rPr>
        <w:t>根据结果生成放量、保持、观察、迭代、换新或关停的 Action Intent；次级入口仅用于查看证据。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执行分支：</w:t>
      </w:r>
      <w:r>
        <w:rPr>
          <w:rFonts w:ascii="Calibri" w:hAnsi="Calibri" w:eastAsia="Microsoft YaHei"/>
          <w:color w:val="17181C"/>
          <w:sz w:val="22"/>
        </w:rPr>
        <w:t>生成类进入方向/变量选择与素材生成；监控类创建复查任务；关停类进入影响确认。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保存投放草稿：</w:t>
      </w:r>
      <w:r>
        <w:rPr>
          <w:rFonts w:ascii="Calibri" w:hAnsi="Calibri" w:eastAsia="Microsoft YaHei"/>
          <w:color w:val="17181C"/>
          <w:sz w:val="22"/>
        </w:rPr>
        <w:t>生成或复用素材后配置 Target ROI、日预算、观察时长、胜出订单线与止损 ROI，保存草稿。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人工确认与平台执行：</w:t>
      </w:r>
      <w:r>
        <w:rPr>
          <w:rFonts w:ascii="Calibri" w:hAnsi="Calibri" w:eastAsia="Microsoft YaHei"/>
          <w:color w:val="17181C"/>
          <w:sz w:val="22"/>
        </w:rPr>
        <w:t>AO 确认后调用平台；创建成功与实际投放状态分离，并持续同步审核/投放状态。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观测、验收与回流：</w:t>
      </w:r>
      <w:r>
        <w:rPr>
          <w:rFonts w:ascii="Calibri" w:hAnsi="Calibri" w:eastAsia="Microsoft YaHei"/>
          <w:color w:val="17181C"/>
          <w:sz w:val="22"/>
        </w:rPr>
        <w:t>同时满足观察时间和订单样本后，比较原素材与变体/新配置；结果回写 Benchmark、任务和下一轮诊断。</w:t>
      </w:r>
    </w:p>
    <w:p>
      <w:pPr>
        <w:pStyle w:val="Heading2"/>
      </w:pPr>
      <w:r>
        <w:t>4.1 三类动作分支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50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分支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适用结果</w:t>
            </w:r>
          </w:p>
        </w:tc>
        <w:tc>
          <w:tcPr>
            <w:tcW w:type="dxa" w:w="5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共用路径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生成/配置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可放量、需迭代、需换新</w:t>
            </w:r>
          </w:p>
        </w:tc>
        <w:tc>
          <w:tcPr>
            <w:tcW w:type="dxa" w:w="5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选择参考/变量 → 生成/复用素材 → 选择结果 → 配置并保存草稿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监控/复查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稳定投放、待观察</w:t>
            </w:r>
          </w:p>
        </w:tc>
        <w:tc>
          <w:tcPr>
            <w:tcW w:type="dxa" w:w="5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创建复查规则 → 累积样本/等待数据 → 自动或人工重诊断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风险处置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建议关停、非素材保护</w:t>
            </w:r>
          </w:p>
        </w:tc>
        <w:tc>
          <w:tcPr>
            <w:tcW w:type="dxa" w:w="5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展示影响范围 → 二次确认/跳转商品或投放诊断 → 记录可恢复操作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4.2 一条诊断只能有一个主结果和一个主动作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同一 diagnosis_snapshot_id 只允许一个 active action_intent。AO 变更结论时，必须关闭旧意图并创建新版本，不可在同一快照上同时“放量”和“关停”。查看商品问题、查看证据、返回上游不算主动作。</w:t>
      </w:r>
    </w:p>
    <w:p>
      <w:r>
        <w:br w:type="page"/>
      </w:r>
    </w:p>
    <w:p>
      <w:pPr>
        <w:pStyle w:val="Heading1"/>
      </w:pPr>
      <w:r>
        <w:t>5. 数据计算与诊断决策模型</w:t>
      </w:r>
    </w:p>
    <w:p>
      <w:pPr>
        <w:pStyle w:val="Heading2"/>
      </w:pPr>
      <w:r>
        <w:t>5.1 基础指标</w:t>
      </w:r>
    </w:p>
    <w:p>
      <w:pPr>
        <w:spacing w:before="40" w:after="100"/>
        <w:ind w:left="230" w:right="115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点击率  </w:t>
      </w:r>
      <w:r>
        <w:rPr>
          <w:rFonts w:ascii="Consolas" w:hAnsi="Consolas" w:eastAsia="Microsoft YaHei"/>
          <w:b/>
          <w:color w:val="17181C"/>
          <w:sz w:val="21"/>
        </w:rPr>
        <w:t>ctr = clicks / impressions</w:t>
      </w:r>
      <w:r>
        <w:rPr>
          <w:rFonts w:ascii="Calibri" w:hAnsi="Calibri" w:eastAsia="Microsoft YaHei"/>
          <w:color w:val="667085"/>
          <w:sz w:val="19"/>
        </w:rPr>
        <w:br/>
        <w:t>impressions 为 0 或数据缺失时返回 null；不得以 0 参与 Index。</w:t>
      </w:r>
    </w:p>
    <w:p>
      <w:pPr>
        <w:spacing w:before="40" w:after="100"/>
        <w:ind w:left="230" w:right="115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转化率  </w:t>
      </w:r>
      <w:r>
        <w:rPr>
          <w:rFonts w:ascii="Consolas" w:hAnsi="Consolas" w:eastAsia="Microsoft YaHei"/>
          <w:b/>
          <w:color w:val="17181C"/>
          <w:sz w:val="21"/>
        </w:rPr>
        <w:t>cvr = orders / clicks</w:t>
      </w:r>
      <w:r>
        <w:rPr>
          <w:rFonts w:ascii="Calibri" w:hAnsi="Calibri" w:eastAsia="Microsoft YaHei"/>
          <w:color w:val="667085"/>
          <w:sz w:val="19"/>
        </w:rPr>
        <w:br/>
        <w:t>clicks 为 0 时返回 null；订单口径必须与 GMV 归因一致。</w:t>
      </w:r>
    </w:p>
    <w:p>
      <w:pPr>
        <w:spacing w:before="40" w:after="100"/>
        <w:ind w:left="230" w:right="115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客单价  </w:t>
      </w:r>
      <w:r>
        <w:rPr>
          <w:rFonts w:ascii="Consolas" w:hAnsi="Consolas" w:eastAsia="Microsoft YaHei"/>
          <w:b/>
          <w:color w:val="17181C"/>
          <w:sz w:val="21"/>
        </w:rPr>
        <w:t>aov = gross_revenue / orders</w:t>
      </w:r>
      <w:r>
        <w:rPr>
          <w:rFonts w:ascii="Calibri" w:hAnsi="Calibri" w:eastAsia="Microsoft YaHei"/>
          <w:color w:val="667085"/>
          <w:sz w:val="19"/>
        </w:rPr>
        <w:br/>
        <w:t>orders 为 0 时返回 null；禁止展示为 $0 以免误导。</w:t>
      </w:r>
    </w:p>
    <w:p>
      <w:pPr>
        <w:spacing w:before="40" w:after="100"/>
        <w:ind w:left="230" w:right="115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平台口径 ROI  </w:t>
      </w:r>
      <w:r>
        <w:rPr>
          <w:rFonts w:ascii="Consolas" w:hAnsi="Consolas" w:eastAsia="Microsoft YaHei"/>
          <w:b/>
          <w:color w:val="17181C"/>
          <w:sz w:val="21"/>
        </w:rPr>
        <w:t>roi = gross_revenue / spend</w:t>
      </w:r>
      <w:r>
        <w:rPr>
          <w:rFonts w:ascii="Calibri" w:hAnsi="Calibri" w:eastAsia="Microsoft YaHei"/>
          <w:color w:val="667085"/>
          <w:sz w:val="19"/>
        </w:rPr>
        <w:br/>
        <w:t>spend 为 0 时返回 null；若平台提供权威值，保留 raw value 与本地重算差异。</w:t>
      </w:r>
    </w:p>
    <w:p>
      <w:pPr>
        <w:spacing w:before="40" w:after="100"/>
        <w:ind w:left="230" w:right="115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目标单均成本  </w:t>
      </w:r>
      <w:r>
        <w:rPr>
          <w:rFonts w:ascii="Consolas" w:hAnsi="Consolas" w:eastAsia="Microsoft YaHei"/>
          <w:b/>
          <w:color w:val="17181C"/>
          <w:sz w:val="21"/>
        </w:rPr>
        <w:t>target_cpo = expected_aov / target_roi</w:t>
      </w:r>
      <w:r>
        <w:rPr>
          <w:rFonts w:ascii="Calibri" w:hAnsi="Calibri" w:eastAsia="Microsoft YaHei"/>
          <w:color w:val="667085"/>
          <w:sz w:val="19"/>
        </w:rPr>
        <w:br/>
        <w:t>仅当 target_roi&gt;0；expected_aov 优先取同商品近期稳定样本，不使用当前少样本素材自身 AOV。</w:t>
      </w:r>
    </w:p>
    <w:p>
      <w:pPr>
        <w:pStyle w:val="Heading2"/>
      </w:pPr>
      <w:r>
        <w:t>5.2 标准化 Index 与趋势</w:t>
      </w:r>
    </w:p>
    <w:p>
      <w:pPr>
        <w:spacing w:before="40" w:after="100"/>
        <w:ind w:left="230" w:right="115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ROI 达成指数  </w:t>
      </w:r>
      <w:r>
        <w:rPr>
          <w:rFonts w:ascii="Consolas" w:hAnsi="Consolas" w:eastAsia="Microsoft YaHei"/>
          <w:b/>
          <w:color w:val="17181C"/>
          <w:sz w:val="21"/>
        </w:rPr>
        <w:t>roi_index = actual_roi / target_roi</w:t>
      </w:r>
      <w:r>
        <w:rPr>
          <w:rFonts w:ascii="Calibri" w:hAnsi="Calibri" w:eastAsia="Microsoft YaHei"/>
          <w:color w:val="667085"/>
          <w:sz w:val="19"/>
        </w:rPr>
        <w:br/>
        <w:t>目标与实际必须使用同一口径。</w:t>
      </w:r>
    </w:p>
    <w:p>
      <w:pPr>
        <w:spacing w:before="40" w:after="100"/>
        <w:ind w:left="230" w:right="115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CTR 指数  </w:t>
      </w:r>
      <w:r>
        <w:rPr>
          <w:rFonts w:ascii="Consolas" w:hAnsi="Consolas" w:eastAsia="Microsoft YaHei"/>
          <w:b/>
          <w:color w:val="17181C"/>
          <w:sz w:val="21"/>
        </w:rPr>
        <w:t>ctr_index = creative_ctr / benchmark_ctr</w:t>
      </w:r>
      <w:r>
        <w:rPr>
          <w:rFonts w:ascii="Calibri" w:hAnsi="Calibri" w:eastAsia="Microsoft YaHei"/>
          <w:color w:val="667085"/>
          <w:sz w:val="19"/>
        </w:rPr>
        <w:br/>
        <w:t>Benchmark 为 null 或置信度低时，不做强结论。</w:t>
      </w:r>
    </w:p>
    <w:p>
      <w:pPr>
        <w:spacing w:before="40" w:after="100"/>
        <w:ind w:left="230" w:right="115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CVR 指数  </w:t>
      </w:r>
      <w:r>
        <w:rPr>
          <w:rFonts w:ascii="Consolas" w:hAnsi="Consolas" w:eastAsia="Microsoft YaHei"/>
          <w:b/>
          <w:color w:val="17181C"/>
          <w:sz w:val="21"/>
        </w:rPr>
        <w:t>cvr_index = creative_cvr / benchmark_cvr</w:t>
      </w:r>
      <w:r>
        <w:rPr>
          <w:rFonts w:ascii="Calibri" w:hAnsi="Calibri" w:eastAsia="Microsoft YaHei"/>
          <w:color w:val="667085"/>
          <w:sz w:val="19"/>
        </w:rPr>
        <w:br/>
        <w:t>Benchmark 为 null 或置信度低时，不做强结论。</w:t>
      </w:r>
    </w:p>
    <w:p>
      <w:pPr>
        <w:spacing w:before="40" w:after="100"/>
        <w:ind w:left="230" w:right="115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短期趋势  </w:t>
      </w:r>
      <w:r>
        <w:rPr>
          <w:rFonts w:ascii="Consolas" w:hAnsi="Consolas" w:eastAsia="Microsoft YaHei"/>
          <w:b/>
          <w:color w:val="17181C"/>
          <w:sz w:val="21"/>
        </w:rPr>
        <w:t>trend_3d_vs_prev7d = metric_last_3d / metric_prev_7d - 1</w:t>
      </w:r>
      <w:r>
        <w:rPr>
          <w:rFonts w:ascii="Calibri" w:hAnsi="Calibri" w:eastAsia="Microsoft YaHei"/>
          <w:color w:val="667085"/>
          <w:sz w:val="19"/>
        </w:rPr>
        <w:br/>
        <w:t>两个窗口必须连续、不重叠；任一窗口样本不足则返回 null。</w:t>
      </w:r>
    </w:p>
    <w:p>
      <w:pPr>
        <w:spacing w:before="40" w:after="100"/>
        <w:ind w:left="230" w:right="115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波动率  </w:t>
      </w:r>
      <w:r>
        <w:rPr>
          <w:rFonts w:ascii="Consolas" w:hAnsi="Consolas" w:eastAsia="Microsoft YaHei"/>
          <w:b/>
          <w:color w:val="17181C"/>
          <w:sz w:val="21"/>
        </w:rPr>
        <w:t>volatility = stdev(daily_metric) / mean(daily_metric)</w:t>
      </w:r>
      <w:r>
        <w:rPr>
          <w:rFonts w:ascii="Calibri" w:hAnsi="Calibri" w:eastAsia="Microsoft YaHei"/>
          <w:color w:val="667085"/>
          <w:sz w:val="19"/>
        </w:rPr>
        <w:br/>
        <w:t>均值为 0 或有效天数不足 3 天时返回 null。</w:t>
      </w:r>
    </w:p>
    <w:p>
      <w:pPr>
        <w:pStyle w:val="Heading2"/>
      </w:pPr>
      <w:r>
        <w:t>5.3 Benchmark 分层与置信度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900"/>
        <w:gridCol w:w="1400"/>
        <w:gridCol w:w="216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级别</w:t>
            </w:r>
          </w:p>
        </w:tc>
        <w:tc>
          <w:tcPr>
            <w:tcW w:type="dxa" w:w="4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样本池</w:t>
            </w:r>
          </w:p>
        </w:tc>
        <w:tc>
          <w:tcPr>
            <w:tcW w:type="dxa" w:w="1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最低样本</w:t>
            </w:r>
          </w:p>
        </w:tc>
        <w:tc>
          <w:tcPr>
            <w:tcW w:type="dxa" w:w="2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置信度/动作限制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L1</w:t>
            </w:r>
          </w:p>
        </w:tc>
        <w:tc>
          <w:tcPr>
            <w:tcW w:type="dxa" w:w="4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同商品 + 同国家 + 同账户 + 近7天成熟素材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sample≥5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L2</w:t>
            </w:r>
          </w:p>
        </w:tc>
        <w:tc>
          <w:tcPr>
            <w:tcW w:type="dxa" w:w="4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同商品 + 同国家 + 同账户 + 近14天成熟素材</w:t>
            </w:r>
          </w:p>
        </w:tc>
        <w:tc>
          <w:tcPr>
            <w:tcW w:type="dxa" w:w="1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sample≥5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L3</w:t>
            </w:r>
          </w:p>
        </w:tc>
        <w:tc>
          <w:tcPr>
            <w:tcW w:type="dxa" w:w="4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同商品 + 同国家 + 同店铺其他账户 + 近14天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sample≥5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Medium-Low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L4</w:t>
            </w:r>
          </w:p>
        </w:tc>
        <w:tc>
          <w:tcPr>
            <w:tcW w:type="dxa" w:w="4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同类目 + 同国家 + 同店铺 + 近14天</w:t>
            </w:r>
          </w:p>
        </w:tc>
        <w:tc>
          <w:tcPr>
            <w:tcW w:type="dxa" w:w="1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sample≥10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Low；只用于方向提示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None</w:t>
            </w:r>
          </w:p>
        </w:tc>
        <w:tc>
          <w:tcPr>
            <w:tcW w:type="dxa" w:w="4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以上均不足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—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No benchmark；只能待观察</w:t>
            </w:r>
          </w:p>
        </w:tc>
      </w:tr>
    </w:tbl>
    <w:p>
      <w:pPr>
        <w:spacing w:before="0" w:after="120"/>
      </w:pP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Benchmark 默认取样本中位数，并记录 benchmark_level、sample_size、window、filter、calculated_at。L4 或 None 不允许直接触发强放量/关停；前端必须显示“参考范围扩大”。</w:t>
      </w:r>
    </w:p>
    <w:p>
      <w:pPr>
        <w:pStyle w:val="Heading2"/>
      </w:pPr>
      <w:r>
        <w:t>5.4 样本成熟门槛</w:t>
      </w:r>
    </w:p>
    <w:p>
      <w:pPr>
        <w:spacing w:before="40" w:after="100"/>
        <w:ind w:left="230" w:right="115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MVP 成熟条件  </w:t>
      </w:r>
      <w:r>
        <w:rPr>
          <w:rFonts w:ascii="Consolas" w:hAnsi="Consolas" w:eastAsia="Microsoft YaHei"/>
          <w:b/>
          <w:color w:val="17181C"/>
          <w:sz w:val="21"/>
        </w:rPr>
        <w:t>is_mature = data_complete AND active_hours ≥ 24 AND (orders ≥ 5 OR spend ≥ 2 × target_cpo)</w:t>
      </w:r>
      <w:r>
        <w:rPr>
          <w:rFonts w:ascii="Calibri" w:hAnsi="Calibri" w:eastAsia="Microsoft YaHei"/>
          <w:color w:val="667085"/>
          <w:sz w:val="19"/>
        </w:rPr>
        <w:br/>
        <w:t>与原稿相比，避免仅凭短时间高消耗或极少订单形成强结论。orders、24h、2× 均进入规则配置。</w:t>
      </w:r>
    </w:p>
    <w:p>
      <w:pPr>
        <w:spacing w:before="80" w:after="160"/>
        <w:ind w:left="173" w:right="173"/>
        <w:shd w:fill="EAF4FF"/>
        <w:pBdr>
          <w:left w:val="single" w:sz="14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待观察优先  </w:t>
      </w:r>
      <w:r>
        <w:rPr>
          <w:rFonts w:ascii="Calibri" w:hAnsi="Calibri" w:eastAsia="Microsoft YaHei"/>
          <w:color w:val="17181C"/>
          <w:sz w:val="21"/>
        </w:rPr>
        <w:t>数据延迟、归因未闭合、Benchmark 不可用、样本未成熟时，统一输出“待观察”，并给出缺口与预计重诊断时间；不得生成关停、放量或替换素材动作。</w:t>
      </w:r>
    </w:p>
    <w:p>
      <w:pPr>
        <w:pStyle w:val="Heading2"/>
      </w:pPr>
      <w:r>
        <w:t>5.5 非素材问题保护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当素材漏斗相对正常，但 ROI 未达标时，不把问题归因到素材。MVP 默认保护条件：ctr_index≥0.90 且 cvr_index≥0.90 且 roi_index&lt;1.00；再结合 AOV、Offer、库存、毛利/目标、授权、账户余额、审核和投放状态生成原因码。</w:t>
      </w:r>
    </w:p>
    <w:p>
      <w:pPr>
        <w:spacing w:before="80" w:after="160"/>
        <w:ind w:left="173" w:right="173"/>
        <w:shd w:fill="F1F5FF"/>
        <w:pBdr>
          <w:left w:val="single" w:sz="14" w:space="8" w:color="4169A1"/>
        </w:pBdr>
      </w:pPr>
      <w:r>
        <w:rPr>
          <w:rFonts w:ascii="Calibri" w:hAnsi="Calibri" w:eastAsia="Microsoft YaHei"/>
          <w:b/>
          <w:color w:val="4169A1"/>
          <w:sz w:val="21"/>
        </w:rPr>
        <w:t xml:space="preserve">结果语义  </w:t>
      </w:r>
      <w:r>
        <w:rPr>
          <w:rFonts w:ascii="Calibri" w:hAnsi="Calibri" w:eastAsia="Microsoft YaHei"/>
          <w:color w:val="17181C"/>
          <w:sz w:val="21"/>
        </w:rPr>
        <w:t>“非素材问题”不是第七个素材诊断状态，而是归因保护分支。命中后锁定生成/换新/关停素材按钮，主动作改为“查看商品与投放诊断”。</w:t>
      </w:r>
    </w:p>
    <w:p>
      <w:pPr>
        <w:pStyle w:val="Heading2"/>
      </w:pPr>
      <w:r>
        <w:t>5.6 六类用户结果与默认规则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900"/>
        <w:gridCol w:w="4900"/>
        <w:gridCol w:w="226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展示结果</w:t>
            </w:r>
          </w:p>
        </w:tc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代码</w:t>
            </w:r>
          </w:p>
        </w:tc>
        <w:tc>
          <w:tcPr>
            <w:tcW w:type="dxa" w:w="4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MVP 默认判定（可配置）</w:t>
            </w:r>
          </w:p>
        </w:tc>
        <w:tc>
          <w:tcPr>
            <w:tcW w:type="dxa" w:w="2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唯一主动作</w:t>
            </w:r>
          </w:p>
        </w:tc>
      </w:tr>
      <w:t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可放量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SCALE</w:t>
            </w:r>
          </w:p>
        </w:tc>
        <w:tc>
          <w:tcPr>
            <w:tcW w:type="dxa" w:w="4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成熟；roi_index≥1.15；orders≥max(10, benchmark_orders_median)；ROI 3日趋势≥-10%；Benchmark≥Medium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创建放量草稿；可选生成衍生变体</w:t>
            </w:r>
          </w:p>
        </w:tc>
      </w:tr>
      <w:tr>
        <w:tc>
          <w:tcPr>
            <w:tcW w:type="dxa" w:w="1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稳定投放</w:t>
            </w:r>
          </w:p>
        </w:tc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HOLD</w:t>
            </w:r>
          </w:p>
        </w:tc>
        <w:tc>
          <w:tcPr>
            <w:tcW w:type="dxa" w:w="4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成熟；1.00≤roi_index&lt;1.15；ctr_index、cvr_index≥0.90；核心指标波动&lt;15%</w:t>
            </w:r>
          </w:p>
        </w:tc>
        <w:tc>
          <w:tcPr>
            <w:tcW w:type="dxa" w:w="2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保持配置并创建复查任务</w:t>
            </w:r>
          </w:p>
        </w:tc>
      </w:tr>
      <w:t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待观察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OBSERVE</w:t>
            </w:r>
          </w:p>
        </w:tc>
        <w:tc>
          <w:tcPr>
            <w:tcW w:type="dxa" w:w="4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数据不完整、样本未成熟、趋势/基准不可计算，或无其他强结论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展示缺口并排定重诊断</w:t>
            </w:r>
          </w:p>
        </w:tc>
      </w:tr>
      <w:tr>
        <w:tc>
          <w:tcPr>
            <w:tcW w:type="dxa" w:w="1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需迭代</w:t>
            </w:r>
          </w:p>
        </w:tc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ITERATE</w:t>
            </w:r>
          </w:p>
        </w:tc>
        <w:tc>
          <w:tcPr>
            <w:tcW w:type="dxa" w:w="4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成熟；roi_index≥0.90，且 CTR/CVR 某一环弱于0.80，或短期趋势≤-20%</w:t>
            </w:r>
          </w:p>
        </w:tc>
        <w:tc>
          <w:tcPr>
            <w:tcW w:type="dxa" w:w="2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一次只改变一个主变量并生成对照版本</w:t>
            </w:r>
          </w:p>
        </w:tc>
      </w:tr>
      <w:t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需换新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REFRESH</w:t>
            </w:r>
          </w:p>
        </w:tc>
        <w:tc>
          <w:tcPr>
            <w:tcW w:type="dxa" w:w="4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成熟；0.70≤roi_index&lt;0.90 且 ctr_index、cvr_index均&lt;0.80；或同方向连续2轮未改善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选择新创意方向并生成整套新素材</w:t>
            </w:r>
          </w:p>
        </w:tc>
      </w:tr>
      <w:tr>
        <w:tc>
          <w:tcPr>
            <w:tcW w:type="dxa" w:w="1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建议关停</w:t>
            </w:r>
          </w:p>
        </w:tc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STOP</w:t>
            </w:r>
          </w:p>
        </w:tc>
        <w:tc>
          <w:tcPr>
            <w:tcW w:type="dxa" w:w="4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成熟；roi_index&lt;0.70；spend≥2×target_cpo；连续2个诊断窗口恶化；Benchmark≥Medium</w:t>
            </w:r>
          </w:p>
        </w:tc>
        <w:tc>
          <w:tcPr>
            <w:tcW w:type="dxa" w:w="2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二次确认后对当前投放关系做可恢复停用/移出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5.7 规则执行优先级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原稿给出的“观察→关停→换新→放量→迭代→稳定”没有说明是展示排序、执行顺序还是冲突优先级。V2.0 定义为安全优先的规则短路：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数据不合格或样本不成熟 → 待观察。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命中非素材保护 → 跳转商品/投放诊断，锁定素材动作。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满足且连续验证建议关停 → 建议关停。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满足换新 → 需换新。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满足迭代 → 需迭代。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满足放量 → 可放量。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其余成熟样本 → 稳定投放。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每次计算返回 matched_rule_id、rule_version、reason_codes 与 suppressed_rules，便于解释为何某条规则没有成为主结果。</w:t>
      </w:r>
    </w:p>
    <w:p>
      <w:r>
        <w:br w:type="page"/>
      </w:r>
    </w:p>
    <w:p>
      <w:pPr>
        <w:pStyle w:val="Heading1"/>
      </w:pPr>
      <w:r>
        <w:t>6. 功能清单与优先级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优先级按依赖与风险定义：P0 构成可演示且可保存的最小闭环；P1 接通平台执行与真实回流；P2 提升决策质量；P3 扩展组织效率。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200"/>
        <w:gridCol w:w="900"/>
        <w:gridCol w:w="3950"/>
        <w:gridCol w:w="1610"/>
      </w:tblGrid>
      <w:tr>
        <w:trPr>
          <w:tblHeader w:val="true"/>
          <w:cantSplit/>
        </w:trPr>
        <w:tc>
          <w:tcPr>
            <w:tcW w:type="dxa" w:w="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2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9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交付边界</w:t>
            </w:r>
          </w:p>
        </w:tc>
        <w:tc>
          <w:tcPr>
            <w:tcW w:type="dxa" w:w="16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依赖</w:t>
            </w:r>
          </w:p>
        </w:tc>
      </w:tr>
      <w:t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F01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全局上下文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39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平台/店铺/账户/国家/时间窗统一，输出 data_as_of</w:t>
            </w:r>
          </w:p>
        </w:tc>
        <w:tc>
          <w:tcPr>
            <w:tcW w:type="dxa" w:w="16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数据接入</w:t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F02</w:t>
            </w:r>
          </w:p>
        </w:tc>
        <w:tc>
          <w:tcPr>
            <w:tcW w:type="dxa" w:w="2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经营总览与商品处理队列</w:t>
            </w:r>
          </w:p>
        </w:tc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39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KPI、趋势、事件、商品聚合与可解释排序</w:t>
            </w:r>
          </w:p>
        </w:tc>
        <w:tc>
          <w:tcPr>
            <w:tcW w:type="dxa" w:w="16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F01、指标服务</w:t>
            </w:r>
          </w:p>
        </w:tc>
      </w:tr>
      <w:t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F03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诊断快照与证据抽屉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39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唯一结论、证据、上下文、允许动作</w:t>
            </w:r>
          </w:p>
        </w:tc>
        <w:tc>
          <w:tcPr>
            <w:tcW w:type="dxa" w:w="16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F01、F04</w:t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F04</w:t>
            </w:r>
          </w:p>
        </w:tc>
        <w:tc>
          <w:tcPr>
            <w:tcW w:type="dxa" w:w="2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规则引擎与 Benchmark</w:t>
            </w:r>
          </w:p>
        </w:tc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39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资格校验、保护分支、六类结果、规则版本</w:t>
            </w:r>
          </w:p>
        </w:tc>
        <w:tc>
          <w:tcPr>
            <w:tcW w:type="dxa" w:w="16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数据仓库/计算服务</w:t>
            </w:r>
          </w:p>
        </w:tc>
      </w:tr>
      <w:t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F05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动作意图与统一任务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39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一快照一主动作、状态与审计</w:t>
            </w:r>
          </w:p>
        </w:tc>
        <w:tc>
          <w:tcPr>
            <w:tcW w:type="dxa" w:w="16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F03、任务存储</w:t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F06</w:t>
            </w:r>
          </w:p>
        </w:tc>
        <w:tc>
          <w:tcPr>
            <w:tcW w:type="dxa" w:w="2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方向/变量选择与生成承接</w:t>
            </w:r>
          </w:p>
        </w:tc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P0/P1</w:t>
            </w:r>
          </w:p>
        </w:tc>
        <w:tc>
          <w:tcPr>
            <w:tcW w:type="dxa" w:w="39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 跳转并接收结果；P1 多轮生成、跨轮选择</w:t>
            </w:r>
          </w:p>
        </w:tc>
        <w:tc>
          <w:tcPr>
            <w:tcW w:type="dxa" w:w="16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现有生成能力</w:t>
            </w:r>
          </w:p>
        </w:tc>
      </w:tr>
      <w:t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F07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投放配置与待发布草稿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39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Target ROI、预算、素材、观察/止损规则，保存草稿</w:t>
            </w:r>
          </w:p>
        </w:tc>
        <w:tc>
          <w:tcPr>
            <w:tcW w:type="dxa" w:w="16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F05、草稿存储</w:t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F08</w:t>
            </w:r>
          </w:p>
        </w:tc>
        <w:tc>
          <w:tcPr>
            <w:tcW w:type="dxa" w:w="2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发布确认与投放状态跟踪</w:t>
            </w:r>
          </w:p>
        </w:tc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P1</w:t>
            </w:r>
          </w:p>
        </w:tc>
        <w:tc>
          <w:tcPr>
            <w:tcW w:type="dxa" w:w="39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幂等发布、创建/审核/投放状态分离、失败重试</w:t>
            </w:r>
          </w:p>
        </w:tc>
        <w:tc>
          <w:tcPr>
            <w:tcW w:type="dxa" w:w="16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TikTok API、F07</w:t>
            </w:r>
          </w:p>
        </w:tc>
      </w:tr>
      <w:t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F09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稳定/观察复查任务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P1</w:t>
            </w:r>
          </w:p>
        </w:tc>
        <w:tc>
          <w:tcPr>
            <w:tcW w:type="dxa" w:w="39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累积样本、数据恢复后重诊断</w:t>
            </w:r>
          </w:p>
        </w:tc>
        <w:tc>
          <w:tcPr>
            <w:tcW w:type="dxa" w:w="16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调度/规则服务</w:t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F10</w:t>
            </w:r>
          </w:p>
        </w:tc>
        <w:tc>
          <w:tcPr>
            <w:tcW w:type="dxa" w:w="2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任务记录与结果回流</w:t>
            </w:r>
          </w:p>
        </w:tc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P1</w:t>
            </w:r>
          </w:p>
        </w:tc>
        <w:tc>
          <w:tcPr>
            <w:tcW w:type="dxa" w:w="39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时间线、原素材/变体对照、winner、回写</w:t>
            </w:r>
          </w:p>
        </w:tc>
        <w:tc>
          <w:tcPr>
            <w:tcW w:type="dxa" w:w="16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F08、回流数据</w:t>
            </w:r>
          </w:p>
        </w:tc>
      </w:tr>
      <w:t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F11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投放中调整建议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P2</w:t>
            </w:r>
          </w:p>
        </w:tc>
        <w:tc>
          <w:tcPr>
            <w:tcW w:type="dxa" w:w="39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放量、保持、补素材、调目标、止损建议</w:t>
            </w:r>
          </w:p>
        </w:tc>
        <w:tc>
          <w:tcPr>
            <w:tcW w:type="dxa" w:w="16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F10、毛利/库存数据</w:t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F12</w:t>
            </w:r>
          </w:p>
        </w:tc>
        <w:tc>
          <w:tcPr>
            <w:tcW w:type="dxa" w:w="2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GMV 影响与优先级模型</w:t>
            </w:r>
          </w:p>
        </w:tc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P2</w:t>
            </w:r>
          </w:p>
        </w:tc>
        <w:tc>
          <w:tcPr>
            <w:tcW w:type="dxa" w:w="39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风险/机会估计、置信区间、模型版本</w:t>
            </w:r>
          </w:p>
        </w:tc>
        <w:tc>
          <w:tcPr>
            <w:tcW w:type="dxa" w:w="16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稳定历史样本</w:t>
            </w:r>
          </w:p>
        </w:tc>
      </w:tr>
      <w:t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F13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权限、审批、批量与通知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P3</w:t>
            </w:r>
          </w:p>
        </w:tc>
        <w:tc>
          <w:tcPr>
            <w:tcW w:type="dxa" w:w="39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角色权限、多级审批、批量任务、消息协作</w:t>
            </w:r>
          </w:p>
        </w:tc>
        <w:tc>
          <w:tcPr>
            <w:tcW w:type="dxa" w:w="16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组织/权限系统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7. 功能详细需求</w:t>
      </w:r>
    </w:p>
    <w:p>
      <w:pPr>
        <w:pStyle w:val="Heading2"/>
      </w:pPr>
      <w:r>
        <w:t>7.1 F01 全局上下文（P0）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业务目的：</w:t>
      </w:r>
      <w:r>
        <w:rPr>
          <w:rFonts w:ascii="Calibri" w:hAnsi="Calibri" w:eastAsia="Microsoft YaHei"/>
          <w:color w:val="17181C"/>
          <w:sz w:val="22"/>
        </w:rPr>
        <w:t>保证经营指标、Benchmark、诊断、草稿和回流使用同一数据范围。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默认：GMV Max、当前店铺、全部有权限账户、当前国家、近7天；日期使用账户时区。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平台单选、店铺单选、账户多选、国家单选、日期预设/自定义；切换任一维度后取消旧请求并整体重算。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所有响应返回 context_id、timezone、currency、data_as_of、attribution_window 与数据延迟状态。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从商品行进入诊断、从诊断保存草稿、从任务查看回流时必须携带原 context_id；若数据范围变化，创建新诊断快照。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加载失败显示错误原因与“重新加载”，不得用旧数据伪装新上下文。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验收：</w:t>
      </w:r>
      <w:r>
        <w:rPr>
          <w:rFonts w:ascii="Calibri" w:hAnsi="Calibri" w:eastAsia="Microsoft YaHei"/>
          <w:color w:val="17181C"/>
          <w:sz w:val="22"/>
        </w:rPr>
        <w:t>跨标签、抽屉、草稿和任务返回后上下文不丢失；所有货币指标统一币种并标明换算时间。</w:t>
      </w:r>
    </w:p>
    <w:p>
      <w:pPr>
        <w:pStyle w:val="Heading2"/>
      </w:pPr>
      <w:r>
        <w:t>7.2 F02 经营总览与商品处理队列（P0）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页面结构：</w:t>
      </w:r>
      <w:r>
        <w:rPr>
          <w:rFonts w:ascii="Calibri" w:hAnsi="Calibri" w:eastAsia="Microsoft YaHei"/>
          <w:color w:val="17181C"/>
          <w:sz w:val="22"/>
        </w:rPr>
        <w:t>KPI 卡 → 趋势与事件轴 → 今日处理摘要 → 商品问题队列。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KPI：Spend、CTR、CVR、Orders、Gross revenue、ROI；点击卡片可切换趋势，至少保留一个指标。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趋势按日显示 7/14/30 天数据；事件 Chip 展示预算、目标、素材、授权、状态与备注变更，点击打开日志。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商品行展示商品/SKU、GMV/ROI/Target ROI、成熟素材数、Benchmark 摘要、主诊断、证据与唯一 CTA。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P0 排序使用可解释优先级：安全风险 &gt; GMV 规模 &gt; ROI 缺口 &gt; 素材供给缺口 &gt; 数据新鲜度；每个分项输出 contribution。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筛选：全部、增长机会、素材问题、商品/投放问题、待观察；空态应解释无匹配商品而非显示 0 数据。</w:t>
      </w:r>
    </w:p>
    <w:p>
      <w:pPr>
        <w:spacing w:before="40" w:after="100"/>
        <w:ind w:left="230" w:right="115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P0 优先级分  </w:t>
      </w:r>
      <w:r>
        <w:rPr>
          <w:rFonts w:ascii="Consolas" w:hAnsi="Consolas" w:eastAsia="Microsoft YaHei"/>
          <w:b/>
          <w:color w:val="17181C"/>
          <w:sz w:val="21"/>
        </w:rPr>
        <w:t>priority_score = risk_weight + normalized_gmv × w1 + roi_gap × w2 + supply_gap × w3 - staleness_penalty</w:t>
      </w:r>
      <w:r>
        <w:rPr>
          <w:rFonts w:ascii="Calibri" w:hAnsi="Calibri" w:eastAsia="Microsoft YaHei"/>
          <w:color w:val="667085"/>
          <w:sz w:val="19"/>
        </w:rPr>
        <w:br/>
        <w:t>权重进入 rule_version；只用于排序，不作为诊断结论。预计 GMV 金额模型后置 P2。</w:t>
      </w:r>
    </w:p>
    <w:p>
      <w:pPr>
        <w:pStyle w:val="Heading2"/>
      </w:pPr>
      <w:r>
        <w:t>7.3 F03 诊断快照与证据抽屉（P0）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业务目的：</w:t>
      </w:r>
      <w:r>
        <w:rPr>
          <w:rFonts w:ascii="Calibri" w:hAnsi="Calibri" w:eastAsia="Microsoft YaHei"/>
          <w:color w:val="17181C"/>
          <w:sz w:val="22"/>
        </w:rPr>
        <w:t>回答“数据说明了什么、系统为什么这样判断、下一步是什么”。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抽屉默认显示最新快照，不在打开时实时覆盖；用户可手动“重新诊断”生成新 snapshot。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头部：商品、素材、国家/账户、时间窗、data_as_of、规则版本、四阶段进度。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结论区：结果 Badge、一句话结论、主动作；不得出现两个同等级主按钮。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证据区：实际值、Benchmark、Index、趋势、样本量与置信度；空值解释原因。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受影响素材默认列 3 条并可展开；跨商品使用时必须显示影响范围。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命中非素材保护时，素材生成/关停入口禁用并说明保护原因。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关闭抽屉后保留页面上下文；未提交的本地表单需二次确认。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计算：</w:t>
      </w:r>
      <w:r>
        <w:rPr>
          <w:rFonts w:ascii="Calibri" w:hAnsi="Calibri" w:eastAsia="Microsoft YaHei"/>
          <w:color w:val="17181C"/>
          <w:sz w:val="22"/>
        </w:rPr>
        <w:t>读取 F04 生成的 diagnosis_snapshot，不在前端重算结果。</w:t>
      </w:r>
    </w:p>
    <w:p>
      <w:pPr>
        <w:pStyle w:val="Heading2"/>
      </w:pPr>
      <w:r>
        <w:t>7.4 F04 规则引擎与 Benchmark（P0）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输入：不可变 metric_snapshot、product_target、benchmark_snapshot、data_quality、platform status。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输出：eligibility、attribution_scope、display_result、primary_action、reason_codes、evidence、rule_version、suppressed_rules。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所有阈值可配置、版本化且可灰度；历史快照永远引用当时版本，不随新规则重算。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规则计算失败时返回 UNKNOWN/待观察与 error_code，不允许前端兜底判定。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相同幂等键 context+creative+window+rule_version 重复请求返回同一快照。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验收：</w:t>
      </w:r>
      <w:r>
        <w:rPr>
          <w:rFonts w:ascii="Calibri" w:hAnsi="Calibri" w:eastAsia="Microsoft YaHei"/>
          <w:color w:val="17181C"/>
          <w:sz w:val="22"/>
        </w:rPr>
        <w:t>构造边界值、空值、低样本、低置信度与冲突规则测试；优先级短路结果可解释且可复现。</w:t>
      </w:r>
    </w:p>
    <w:p>
      <w:pPr>
        <w:pStyle w:val="Heading2"/>
      </w:pPr>
      <w:r>
        <w:t>7.5 F05 动作意图与统一任务（P0）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用户接受诊断后创建 action_intent 与 task。一个快照只允许一个 active intent；改判或放弃通过状态变更完成，不物理删除。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52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</w:t>
            </w:r>
          </w:p>
        </w:tc>
        <w:tc>
          <w:tcPr>
            <w:tcW w:type="dxa" w:w="2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主动作</w:t>
            </w:r>
          </w:p>
        </w:tc>
        <w:tc>
          <w:tcPr>
            <w:tcW w:type="dxa" w:w="5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必须持久化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SCALE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创建放量方案</w:t>
            </w:r>
          </w:p>
        </w:tc>
        <w:tc>
          <w:tcPr>
            <w:tcW w:type="dxa" w:w="5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current creative、预算建议、Target ROI、证据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HOLD</w:t>
            </w:r>
          </w:p>
        </w:tc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保持并复查</w:t>
            </w:r>
          </w:p>
        </w:tc>
        <w:tc>
          <w:tcPr>
            <w:tcW w:type="dxa" w:w="5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复查时间、指标门槛、异常条件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OBSERVE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继续观察</w:t>
            </w:r>
          </w:p>
        </w:tc>
        <w:tc>
          <w:tcPr>
            <w:tcW w:type="dxa" w:w="5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缺失样本、预计满足时间、重诊断时间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ITERATE</w:t>
            </w:r>
          </w:p>
        </w:tc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选择一个迭代变量</w:t>
            </w:r>
          </w:p>
        </w:tc>
        <w:tc>
          <w:tcPr>
            <w:tcW w:type="dxa" w:w="5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变量轴、锁定项、参考素材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REFRESH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选择新方向</w:t>
            </w:r>
          </w:p>
        </w:tc>
        <w:tc>
          <w:tcPr>
            <w:tcW w:type="dxa" w:w="5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方向标签、保留约束、参考素材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STOP</w:t>
            </w:r>
          </w:p>
        </w:tc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确认停用/移出</w:t>
            </w:r>
          </w:p>
        </w:tc>
        <w:tc>
          <w:tcPr>
            <w:tcW w:type="dxa" w:w="5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影响商品/账户、可恢复说明、二次确认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7.6 F06 方向/变量选择与生成承接（P0/P1）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P0：</w:t>
      </w:r>
      <w:r>
        <w:rPr>
          <w:rFonts w:ascii="Calibri" w:hAnsi="Calibri" w:eastAsia="Microsoft YaHei"/>
          <w:color w:val="17181C"/>
          <w:sz w:val="22"/>
        </w:rPr>
        <w:t>将 action_intent、商品上下文和已选策略带入现有生成能力；接收生成任务 ID、结果素材 ID 和版本关系。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200"/>
        <w:gridCol w:w="3300"/>
        <w:gridCol w:w="30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变量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目标指标</w:t>
            </w:r>
          </w:p>
        </w:tc>
        <w:tc>
          <w:tcPr>
            <w:tcW w:type="dxa" w:w="3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允许改变</w:t>
            </w:r>
          </w:p>
        </w:tc>
        <w:tc>
          <w:tcPr>
            <w:tcW w:type="dxa" w:w="3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默认锁定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换 Hook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CTR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前3秒文案、首帧、节奏整体变更</w:t>
            </w:r>
          </w:p>
        </w:tc>
        <w:tc>
          <w:tcPr>
            <w:tcW w:type="dxa" w:w="3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正文/卖点/Offer/CTA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换出镜达人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CTR</w:t>
            </w:r>
          </w:p>
        </w:tc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人设/人物，脚本结构不变</w:t>
            </w:r>
          </w:p>
        </w:tc>
        <w:tc>
          <w:tcPr>
            <w:tcW w:type="dxa" w:w="3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脚本结构/卖点/Offer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换场景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CTR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拍摄环境与氛围</w:t>
            </w:r>
          </w:p>
        </w:tc>
        <w:tc>
          <w:tcPr>
            <w:tcW w:type="dxa" w:w="3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人物/台词/Offer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换卖点与证明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CVR</w:t>
            </w:r>
          </w:p>
        </w:tc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主卖点及支撑证据形式</w:t>
            </w:r>
          </w:p>
        </w:tc>
        <w:tc>
          <w:tcPr>
            <w:tcW w:type="dxa" w:w="3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Hook/人物/Offer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换 Offer 与 CTA 呈现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CVR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利益表达与行动指令的呈现</w:t>
            </w:r>
          </w:p>
        </w:tc>
        <w:tc>
          <w:tcPr>
            <w:tcW w:type="dxa" w:w="3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Hook/正文/价格本身</w:t>
            </w:r>
          </w:p>
        </w:tc>
      </w:tr>
    </w:tbl>
    <w:p>
      <w:pPr>
        <w:spacing w:before="0" w:after="12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需迭代默认一次只改变一个主变量；多选时必须提示无法归因到单一变量，并将实验类型标为 multivariate。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可放量允许不选变量，直接复用当前获胜素材创建草稿；生成衍生变体是可选次动作。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需换新至少选择一个新方向，不沿用已连续失败的方向标签。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P1 支持多轮生成、跨轮选择、每个方案最多 5 条入选素材；所有结果必须可完整播放。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生成失败保留已完成轮次与任务上下文，可重试但不重复生成成功项。</w:t>
      </w:r>
    </w:p>
    <w:p>
      <w:pPr>
        <w:pStyle w:val="Heading2"/>
      </w:pPr>
      <w:r>
        <w:t>7.7 F07 投放配置与待发布草稿（P0）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配置页与生成结果独立，固定展示来源商品、原素材、诊断快照与入选新素材。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字段：Target ROI、每日预算、素材清单、首轮观察时长、胜出订单线、止损 ROI。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Target ROI 默认继承商品目标；每日预算展示诊断建议与可编辑范围，不接受素材自身出价。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校验：Target ROI&gt;0、预算&gt;0、至少1条可投素材、观察时长&gt;0、胜出订单线&gt;0、0&lt;止损ROI&lt;Target ROI。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保存仅写入 delivery_draft，状态为 DRAFT/PENDING_CONFIRM；不直接调用平台接口。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重复保存使用幂等键 diagnosis_snapshot_id+intent_version，若已有草稿则覆盖同草稿版本或提示。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素材覆盖健康：</w:t>
      </w:r>
      <w:r>
        <w:rPr>
          <w:rFonts w:ascii="Calibri" w:hAnsi="Calibri" w:eastAsia="Microsoft YaHei"/>
          <w:color w:val="17181C"/>
          <w:sz w:val="22"/>
        </w:rPr>
        <w:t>coverage_rate = 达到最低可投素材数的在投商品数 / 在投商品总数；同时展示 avg_eligible_creatives_per_product。最低素材数由配置决定，原稿中的“6 条”不能写死。</w:t>
      </w:r>
    </w:p>
    <w:p>
      <w:pPr>
        <w:pStyle w:val="Heading2"/>
      </w:pPr>
      <w:r>
        <w:t>7.8 F08 发布确认与投放状态跟踪（P1）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发布前展示变更摘要和 Before/After。点击确认后创建 execution，不删除草稿；平台写入需幂等、可重试、可审计。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200"/>
        <w:gridCol w:w="25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状态域</w:t>
            </w:r>
          </w:p>
        </w:tc>
        <w:tc>
          <w:tcPr>
            <w:tcW w:type="dxa" w:w="5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建议状态</w:t>
            </w:r>
          </w:p>
        </w:tc>
        <w:tc>
          <w:tcPr>
            <w:tcW w:type="dxa" w:w="2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创建阶段</w:t>
            </w:r>
          </w:p>
        </w:tc>
        <w:tc>
          <w:tcPr>
            <w:tcW w:type="dxa" w:w="5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DRAFT → CREATING → CREATE_SUCCEEDED / CREATE_FAILED</w:t>
            </w:r>
          </w:p>
        </w:tc>
        <w:tc>
          <w:tcPr>
            <w:tcW w:type="dxa" w:w="2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返回平台 ID 只代表创建阶段成功</w:t>
            </w:r>
          </w:p>
        </w:tc>
      </w:tr>
      <w:tr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投放阶段</w:t>
            </w:r>
          </w:p>
        </w:tc>
        <w:tc>
          <w:tcPr>
            <w:tcW w:type="dxa" w:w="5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PENDING_REVIEW / SCHEDULED / ACTIVE / LIMITED_DELIVERY / PAUSED / NOT_DELIVERING / ENDED / DELETED / RE_REVIEWING</w:t>
            </w:r>
          </w:p>
        </w:tc>
        <w:tc>
          <w:tcPr>
            <w:tcW w:type="dxa" w:w="2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应用归一化状态；同时保留平台原始状态和原因</w:t>
            </w:r>
          </w:p>
        </w:tc>
      </w:tr>
      <w:t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异常</w:t>
            </w:r>
          </w:p>
        </w:tc>
        <w:tc>
          <w:tcPr>
            <w:tcW w:type="dxa" w:w="5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UNKNOWN / SYNC_DELAYED</w:t>
            </w:r>
          </w:p>
        </w:tc>
        <w:tc>
          <w:tcPr>
            <w:tcW w:type="dxa" w:w="2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保留最后成功状态与 data_as_of，不伪造 ACTIVE</w:t>
            </w:r>
          </w:p>
        </w:tc>
      </w:tr>
    </w:tbl>
    <w:p>
      <w:pPr>
        <w:spacing w:before="0" w:after="12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必须保存 normalized_status、platform_status、status_reason、status_message、updated_at。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CREATE_SUCCEEDED 不得在 UI 显示为“投放中”；只有平台生命周期为 ACTIVE 才显示投放中。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失败时保留草稿、request_id、platform_response 与可重试入口；同一幂等键不得创建重复计划。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平台原始状态枚举、发布接口权限和字段映射需接入前用官方文档/沙箱重新确认。</w:t>
      </w:r>
    </w:p>
    <w:p>
      <w:pPr>
        <w:pStyle w:val="Heading2"/>
      </w:pPr>
      <w:r>
        <w:t>7.9 F09 稳定/观察复查任务（P1）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HOLD 创建固定复查时间和触发门槛；默认 72h 仅为建议值，可配置。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OBSERVE 记录未满足条件（数据延迟、active_hours、orders、spend、benchmark sample），展示预计满足时间。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数据条件满足后创建新 snapshot，不覆盖旧结论；任务时间线关联前后快照。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连续同步失败转为 BLOCKED 并提示重试；不得丢弃任务。</w:t>
      </w:r>
    </w:p>
    <w:p>
      <w:pPr>
        <w:pStyle w:val="Heading2"/>
      </w:pPr>
      <w:r>
        <w:t>7.10 F10 任务记录与结果回流（P1）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任务列表：</w:t>
      </w:r>
      <w:r>
        <w:rPr>
          <w:rFonts w:ascii="Calibri" w:hAnsi="Calibri" w:eastAsia="Microsoft YaHei"/>
          <w:color w:val="17181C"/>
          <w:sz w:val="22"/>
        </w:rPr>
        <w:t>展示生成中、待发布、审核/投放中、观察中、已验证、失败与有阻塞；支持商品、状态、时间搜索。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任务详情：</w:t>
      </w:r>
      <w:r>
        <w:rPr>
          <w:rFonts w:ascii="Calibri" w:hAnsi="Calibri" w:eastAsia="Microsoft YaHei"/>
          <w:color w:val="17181C"/>
          <w:sz w:val="22"/>
        </w:rPr>
        <w:t>按诊断 → 方向/生成 → 草稿 → 发布 → 状态 → 观测 → 回流显示完整时间线，人工修改记录操作者与时间。</w:t>
      </w:r>
    </w:p>
    <w:p>
      <w:pPr>
        <w:spacing w:before="40" w:after="100"/>
        <w:ind w:left="230" w:right="115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验收门槛  </w:t>
      </w:r>
      <w:r>
        <w:rPr>
          <w:rFonts w:ascii="Consolas" w:hAnsi="Consolas" w:eastAsia="Microsoft YaHei"/>
          <w:b/>
          <w:color w:val="17181C"/>
          <w:sz w:val="21"/>
        </w:rPr>
        <w:t>validation_ready = observation_hours ≥ configured_hours AND orders ≥ win_orders AND data_complete</w:t>
      </w:r>
      <w:r>
        <w:rPr>
          <w:rFonts w:ascii="Calibri" w:hAnsi="Calibri" w:eastAsia="Microsoft YaHei"/>
          <w:color w:val="667085"/>
          <w:sz w:val="19"/>
        </w:rPr>
        <w:br/>
        <w:t>两项样本条件同时满足；仅时间到达不能验收。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对照优先使用同商品、同上下文、重叠观测窗口的原素材与变体；不满足可比性时标“不可直接比较”。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winner 默认优先看 ROI 达成，再比较 Orders/Spend 稳定性；CTR/CVR 用于解释，不单独决定商业胜出。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回流写入 validation_result，并创建下一轮诊断输入；历史结果不可修改，只能追加更正记录。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若创意同时影响多个商品，按各商品上下文分别验证，不用全局平均代替。</w:t>
      </w:r>
    </w:p>
    <w:p>
      <w:pPr>
        <w:pStyle w:val="Heading2"/>
      </w:pPr>
      <w:r>
        <w:t>7.11 F11–F13 后续能力（P2/P3）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200"/>
        <w:gridCol w:w="616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6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F11 调整建议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P2</w:t>
            </w:r>
          </w:p>
        </w:tc>
        <w:tc>
          <w:tcPr>
            <w:tcW w:type="dxa" w:w="6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放量、保持、补素材、调目标、止损；所有建议展示触发条件、证据、Before/After 和风险护栏，仍需 AO 确认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F12 影响模型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P2</w:t>
            </w:r>
          </w:p>
        </w:tc>
        <w:tc>
          <w:tcPr>
            <w:tcW w:type="dxa" w:w="6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预测金额必须标 estimated，输出区间、confidence、model_version；模型不可用时回退可解释排序分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F13 组织效率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P3</w:t>
            </w:r>
          </w:p>
        </w:tc>
        <w:tc>
          <w:tcPr>
            <w:tcW w:type="dxa" w:w="6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多人审批、批量动作、自定义规则、跨店铺对比、通知与协作；不阻塞 P0/P1 闭环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8. 数据实体与接口契约</w:t>
      </w:r>
    </w:p>
    <w:p>
      <w:pPr>
        <w:pStyle w:val="Heading2"/>
      </w:pPr>
      <w:r>
        <w:t>8.1 核心数据实体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800"/>
        <w:gridCol w:w="256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实体</w:t>
            </w:r>
          </w:p>
        </w:tc>
        <w:tc>
          <w:tcPr>
            <w:tcW w:type="dxa" w:w="4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关键字段</w:t>
            </w:r>
          </w:p>
        </w:tc>
        <w:tc>
          <w:tcPr>
            <w:tcW w:type="dxa" w:w="2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ContextSnapshot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context_id, platform, shop_id, account_ids, country, timezone, currency, date_range, data_as_of</w:t>
            </w:r>
          </w:p>
        </w:tc>
        <w:tc>
          <w:tcPr>
            <w:tcW w:type="dxa" w:w="2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冻结查询上下文</w:t>
            </w:r>
          </w:p>
        </w:tc>
      </w:tr>
      <w:tr>
        <w:tc>
          <w:tcPr>
            <w:tcW w:type="dxa" w:w="2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MetricSnapshot</w:t>
            </w:r>
          </w:p>
        </w:tc>
        <w:tc>
          <w:tcPr>
            <w:tcW w:type="dxa" w:w="4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spend, impressions, clicks, orders, gross_revenue, ctr, cvr, aov, roi, active_hours, data_quality</w:t>
            </w:r>
          </w:p>
        </w:tc>
        <w:tc>
          <w:tcPr>
            <w:tcW w:type="dxa" w:w="2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只读指标快照</w:t>
            </w:r>
          </w:p>
        </w:tc>
      </w:tr>
      <w:t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BenchmarkSnapshot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level, filters, window, sample_size, median metrics, confidence, calculated_at</w:t>
            </w:r>
          </w:p>
        </w:tc>
        <w:tc>
          <w:tcPr>
            <w:tcW w:type="dxa" w:w="2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可解释基准</w:t>
            </w:r>
          </w:p>
        </w:tc>
      </w:tr>
      <w:tr>
        <w:tc>
          <w:tcPr>
            <w:tcW w:type="dxa" w:w="2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DiagnosisSnapshot</w:t>
            </w:r>
          </w:p>
        </w:tc>
        <w:tc>
          <w:tcPr>
            <w:tcW w:type="dxa" w:w="4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id, product_id, creative_id, context_id, metrics, benchmark, indexes, result, reason_codes, rule_version</w:t>
            </w:r>
          </w:p>
        </w:tc>
        <w:tc>
          <w:tcPr>
            <w:tcW w:type="dxa" w:w="2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不可变诊断结论</w:t>
            </w:r>
          </w:p>
        </w:tc>
      </w:tr>
      <w:t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ActionIntent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id, diagnosis_id, action_type, strategy, locked_fields, status, version</w:t>
            </w:r>
          </w:p>
        </w:tc>
        <w:tc>
          <w:tcPr>
            <w:tcW w:type="dxa" w:w="2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唯一主动作</w:t>
            </w:r>
          </w:p>
        </w:tc>
      </w:tr>
      <w:tr>
        <w:tc>
          <w:tcPr>
            <w:tcW w:type="dxa" w:w="2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GenerationBatch</w:t>
            </w:r>
          </w:p>
        </w:tc>
        <w:tc>
          <w:tcPr>
            <w:tcW w:type="dxa" w:w="4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intent_id, round, source_assets, selected_strategy, outputs, status</w:t>
            </w:r>
          </w:p>
        </w:tc>
        <w:tc>
          <w:tcPr>
            <w:tcW w:type="dxa" w:w="2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生成轮次与素材谱系</w:t>
            </w:r>
          </w:p>
        </w:tc>
      </w:tr>
      <w:t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DeliveryDraft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intent_id, target_roi, daily_budget, creative_ids, observe_hours, win_orders, stop_roi, status</w:t>
            </w:r>
          </w:p>
        </w:tc>
        <w:tc>
          <w:tcPr>
            <w:tcW w:type="dxa" w:w="2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待发布配置</w:t>
            </w:r>
          </w:p>
        </w:tc>
      </w:tr>
      <w:tr>
        <w:tc>
          <w:tcPr>
            <w:tcW w:type="dxa" w:w="2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DeliveryExecution</w:t>
            </w:r>
          </w:p>
        </w:tc>
        <w:tc>
          <w:tcPr>
            <w:tcW w:type="dxa" w:w="4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draft_id, idempotency_key, platform_ids, create_status, delivery_status, reason, raw_status</w:t>
            </w:r>
          </w:p>
        </w:tc>
        <w:tc>
          <w:tcPr>
            <w:tcW w:type="dxa" w:w="2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平台执行与状态</w:t>
            </w:r>
          </w:p>
        </w:tc>
      </w:tr>
      <w:t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ValidationResult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execution_id, window, baseline, variant, winner, confidence, decision</w:t>
            </w:r>
          </w:p>
        </w:tc>
        <w:tc>
          <w:tcPr>
            <w:tcW w:type="dxa" w:w="2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观测验收</w:t>
            </w:r>
          </w:p>
        </w:tc>
      </w:tr>
      <w:tr>
        <w:tc>
          <w:tcPr>
            <w:tcW w:type="dxa" w:w="2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AuditLog</w:t>
            </w:r>
          </w:p>
        </w:tc>
        <w:tc>
          <w:tcPr>
            <w:tcW w:type="dxa" w:w="4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operator, action, before, after, request_id, platform_response, created_at</w:t>
            </w:r>
          </w:p>
        </w:tc>
        <w:tc>
          <w:tcPr>
            <w:tcW w:type="dxa" w:w="2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操作审计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8.2 建议接口边界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2800"/>
        <w:gridCol w:w="3360"/>
      </w:tblGrid>
      <w:tr>
        <w:trPr>
          <w:tblHeader w:val="true"/>
          <w:cantSplit/>
        </w:trPr>
        <w:tc>
          <w:tcPr>
            <w:tcW w:type="dxa" w:w="3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接口</w:t>
            </w:r>
          </w:p>
        </w:tc>
        <w:tc>
          <w:tcPr>
            <w:tcW w:type="dxa" w:w="2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关键输入</w:t>
            </w:r>
          </w:p>
        </w:tc>
        <w:tc>
          <w:tcPr>
            <w:tcW w:type="dxa" w:w="3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输出/约束</w:t>
            </w:r>
          </w:p>
        </w:tc>
      </w:tr>
      <w:tr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GET /insights/overview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context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KPI、趋势、事件、商品队列、data_as_of</w:t>
            </w:r>
          </w:p>
        </w:tc>
      </w:tr>
      <w:tr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POST /diagnoses</w:t>
            </w:r>
          </w:p>
        </w:tc>
        <w:tc>
          <w:tcPr>
            <w:tcW w:type="dxa" w:w="2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context+product+creative+rule_version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创建/返回幂等诊断快照</w:t>
            </w:r>
          </w:p>
        </w:tc>
      </w:tr>
      <w:tr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POST /action-intents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diagnosis_id+action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创建唯一主动作</w:t>
            </w:r>
          </w:p>
        </w:tc>
      </w:tr>
      <w:tr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POST /generation-batches</w:t>
            </w:r>
          </w:p>
        </w:tc>
        <w:tc>
          <w:tcPr>
            <w:tcW w:type="dxa" w:w="2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intent_id+strategy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承接生成任务；返回 batch_id</w:t>
            </w:r>
          </w:p>
        </w:tc>
      </w:tr>
      <w:tr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POST /delivery-drafts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intent_id+config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保存/更新草稿版本</w:t>
            </w:r>
          </w:p>
        </w:tc>
      </w:tr>
      <w:tr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POST /delivery-executions</w:t>
            </w:r>
          </w:p>
        </w:tc>
        <w:tc>
          <w:tcPr>
            <w:tcW w:type="dxa" w:w="2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draft_id+idempotency_key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确认发布并返回 execution_id</w:t>
            </w:r>
          </w:p>
        </w:tc>
      </w:tr>
      <w:tr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GET /delivery-executions/{id}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—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创建状态、投放状态、原始状态与原因</w:t>
            </w:r>
          </w:p>
        </w:tc>
      </w:tr>
      <w:tr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POST /diagnoses/{id}/recheck</w:t>
            </w:r>
          </w:p>
        </w:tc>
        <w:tc>
          <w:tcPr>
            <w:tcW w:type="dxa" w:w="2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trigger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基于新窗口创建新快照</w:t>
            </w:r>
          </w:p>
        </w:tc>
      </w:tr>
      <w:tr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GET /tasks/{id}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—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任务时间线、阻塞与结果</w:t>
            </w:r>
          </w:p>
        </w:tc>
      </w:tr>
      <w:tr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POST /validations</w:t>
            </w:r>
          </w:p>
        </w:tc>
        <w:tc>
          <w:tcPr>
            <w:tcW w:type="dxa" w:w="2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execution_id+window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计算并持久化验收结果</w:t>
            </w:r>
          </w:p>
        </w:tc>
      </w:tr>
    </w:tbl>
    <w:p>
      <w:pPr>
        <w:spacing w:before="0" w:after="120"/>
      </w:pPr>
    </w:p>
    <w:p>
      <w:pPr>
        <w:spacing w:before="80" w:after="160"/>
        <w:ind w:left="173" w:right="173"/>
        <w:shd w:fill="F4F6F9"/>
        <w:pBdr>
          <w:left w:val="single" w:sz="14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接口原则  </w:t>
      </w:r>
      <w:r>
        <w:rPr>
          <w:rFonts w:ascii="Calibri" w:hAnsi="Calibri" w:eastAsia="Microsoft YaHei"/>
          <w:color w:val="17181C"/>
          <w:sz w:val="21"/>
        </w:rPr>
        <w:t>正式 URL、TikTok 字段和平台枚举由技术方案确定。本 PRD 约束的是领域边界、幂等、状态分离和审计字段，而不是要求照搬示例路由。</w:t>
      </w:r>
    </w:p>
    <w:p>
      <w:pPr>
        <w:pStyle w:val="Heading2"/>
      </w:pPr>
      <w:r>
        <w:t>8.3 错误与降级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6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产品行为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数据延迟/缺失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诊断=待观察；展示延迟时间与重试，不沿用旧数据冒充当前值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Benchmark 不足</w:t>
            </w:r>
          </w:p>
        </w:tc>
        <w:tc>
          <w:tcPr>
            <w:tcW w:type="dxa" w:w="6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降低 confidence；强动作禁用；显示回退层级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规则服务失败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返回 UNKNOWN/待观察；保留 request_id；不在前端判定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生成部分失败</w:t>
            </w:r>
          </w:p>
        </w:tc>
        <w:tc>
          <w:tcPr>
            <w:tcW w:type="dxa" w:w="6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保留成功项与轮次；失败项可幂等重试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保存草稿失败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保留表单与输入；允许重试；不显示已保存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发布失败</w:t>
            </w:r>
          </w:p>
        </w:tc>
        <w:tc>
          <w:tcPr>
            <w:tcW w:type="dxa" w:w="6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草稿保留；execution=CREATE_FAILED；显示平台原因与重试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状态同步异常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显示最后成功状态+SYNC_DELAYED；禁止误报 ACTIVE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回流不可比</w:t>
            </w:r>
          </w:p>
        </w:tc>
        <w:tc>
          <w:tcPr>
            <w:tcW w:type="dxa" w:w="6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Validation=INCONCLUSIVE；说明窗口/样本/上下文差异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9. 状态机</w:t>
      </w:r>
    </w:p>
    <w:p>
      <w:pPr>
        <w:pStyle w:val="Heading2"/>
      </w:pPr>
      <w:r>
        <w:t>9.1 诊断与动作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400"/>
        <w:gridCol w:w="31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4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3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关键规则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Diagnosis</w:t>
            </w:r>
          </w:p>
        </w:tc>
        <w:tc>
          <w:tcPr>
            <w:tcW w:type="dxa" w:w="4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COMPUTING → READY / OBSERVE / NON_MATERIAL_PROTECTED / FAILED</w:t>
            </w:r>
          </w:p>
        </w:tc>
        <w:tc>
          <w:tcPr>
            <w:tcW w:type="dxa" w:w="3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READY 内含六类展示结果；OBSERVE 可定时重诊断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Action intent</w:t>
            </w:r>
          </w:p>
        </w:tc>
        <w:tc>
          <w:tcPr>
            <w:tcW w:type="dxa" w:w="4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DRAFT → CONFIRMED → IN_PROGRESS → COMPLETED / CANCELLED / BLOCKED</w:t>
            </w:r>
          </w:p>
        </w:tc>
        <w:tc>
          <w:tcPr>
            <w:tcW w:type="dxa" w:w="3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同一诊断仅一个 active intent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Generation</w:t>
            </w:r>
          </w:p>
        </w:tc>
        <w:tc>
          <w:tcPr>
            <w:tcW w:type="dxa" w:w="4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QUEUED → GENERATING → PARTIAL / SUCCEEDED / FAILED / CANCELLED</w:t>
            </w:r>
          </w:p>
        </w:tc>
        <w:tc>
          <w:tcPr>
            <w:tcW w:type="dxa" w:w="3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多轮追加，不覆盖成功历史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Delivery draft</w:t>
            </w:r>
          </w:p>
        </w:tc>
        <w:tc>
          <w:tcPr>
            <w:tcW w:type="dxa" w:w="4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DRAFT → PENDING_CONFIRM → CONFIRMED → EXECUTING → ARCHIVED</w:t>
            </w:r>
          </w:p>
        </w:tc>
        <w:tc>
          <w:tcPr>
            <w:tcW w:type="dxa" w:w="3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草稿与平台执行分离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Validation</w:t>
            </w:r>
          </w:p>
        </w:tc>
        <w:tc>
          <w:tcPr>
            <w:tcW w:type="dxa" w:w="4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WAITING_DATA → READY → EVALUATING → WON / LOST / INCONCLUSIVE / FAILED</w:t>
            </w:r>
          </w:p>
        </w:tc>
        <w:tc>
          <w:tcPr>
            <w:tcW w:type="dxa" w:w="3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满足时间+订单双门槛后 READY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9.2 关停的可恢复性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建议关停默认作用于当前 delivery relation，不删除 creative 实体。确认弹窗必须列出受影响商品、账户、计划、当前消耗与素材供给 Before/After；成功后记录 REMOVED/PAUSED 与恢复入口。跨商品共享素材时，只修改用户确认的关系。</w:t>
      </w:r>
    </w:p>
    <w:p>
      <w:pPr>
        <w:pStyle w:val="Heading2"/>
      </w:pPr>
      <w:r>
        <w:t>9.3 审计要求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所有人工确认动作记录 operator、role、timestamp、reason。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所有写操作记录 before、after、request_id、idempotency_key、platform_response。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诊断与规则变更记录 rule_version；模型预测记录 model_version。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失败重试追加 attempt，不覆盖第一次失败证据。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删除/撤销使用软删除或状态变更，不清除历史。</w:t>
      </w:r>
    </w:p>
    <w:p>
      <w:r>
        <w:br w:type="page"/>
      </w:r>
    </w:p>
    <w:p>
      <w:pPr>
        <w:pStyle w:val="Heading1"/>
      </w:pPr>
      <w:r>
        <w:t>10. 研发分期与依赖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900"/>
        <w:gridCol w:w="3760"/>
        <w:gridCol w:w="200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3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完成定义</w:t>
            </w:r>
          </w:p>
        </w:tc>
        <w:tc>
          <w:tcPr>
            <w:tcW w:type="dxa" w:w="2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主要风险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P0：可解释最小闭环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F01–F05、F06 基础承接、F07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统一口径与上下文；商品队列；诊断快照；规则与 Benchmark；动作任务；跳转生成并接收结果；保存待发布草稿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不调用平台发布；用明确 mock/沙箱状态演示到草稿</w:t>
            </w:r>
          </w:p>
        </w:tc>
      </w:tr>
      <w:t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P1：真实执行与回流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F06 完整、F08–F10、审计/重试</w:t>
            </w:r>
          </w:p>
        </w:tc>
        <w:tc>
          <w:tcPr>
            <w:tcW w:type="dxa" w:w="3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多轮结果；人工确认发布；创建/审核/投放状态；复查任务；结果回流与比较</w:t>
            </w:r>
          </w:p>
        </w:tc>
        <w:tc>
          <w:tcPr>
            <w:tcW w:type="dxa" w:w="2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平台权限、回流延迟、归因一致性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P2：决策增强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F11–F12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投放调整建议、毛利/库存护栏、GMV 影响模型、跨商品供给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模型验证、置信区间与安全阈值</w:t>
            </w:r>
          </w:p>
        </w:tc>
      </w:tr>
      <w:t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P3：规模化协作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F13</w:t>
            </w:r>
          </w:p>
        </w:tc>
        <w:tc>
          <w:tcPr>
            <w:tcW w:type="dxa" w:w="3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审批、批量、自定义规则、跨店铺、通知</w:t>
            </w:r>
          </w:p>
        </w:tc>
        <w:tc>
          <w:tcPr>
            <w:tcW w:type="dxa" w:w="2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组织与权限体系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10.1 P0 技术拆解建议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先冻结指标字典、诊断主键、rule_version 和 context_id，再实现页面。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将当前前端固定 ROI 阈值迁出 UI，建立单一诊断服务/领域函数与边界测试。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建立 DiagnosisSnapshot、ActionIntent、DeliveryDraft、Task、AuditLog 最小表结构。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完成商品聚合队列与诊断抽屉，再接现有素材生成入口；避免先做六套详情页。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P0 以“保存待发布草稿 + 可恢复任务记录”为终点；平台发布不得用假成功替代。</w:t>
      </w:r>
    </w:p>
    <w:p>
      <w:pPr>
        <w:pStyle w:val="Heading2"/>
      </w:pPr>
      <w:r>
        <w:t>10.2 关键依赖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依赖</w:t>
            </w:r>
          </w:p>
        </w:tc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4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上线前确认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TikTok Ads/Shop 数据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指标、商品-素材关系、账户/投放状态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确认权限、归因窗口、更新频率、币种与退款口径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Benchmark 服务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样本选择、中位数、置信度</w:t>
            </w:r>
          </w:p>
        </w:tc>
        <w:tc>
          <w:tcPr>
            <w:tcW w:type="dxa" w:w="4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支持分层回退和快照化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创意生成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策略输入、批次、结果与版本关系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支持幂等任务与完整播放结果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投放草稿/发布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目标、预算、素材清单、平台写入</w:t>
            </w:r>
          </w:p>
        </w:tc>
        <w:tc>
          <w:tcPr>
            <w:tcW w:type="dxa" w:w="4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确认平台可写字段及账户权限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任务调度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复查、重诊断、状态同步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支持延迟任务、重试与阻塞状态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审计日志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人工/平台动作</w:t>
            </w:r>
          </w:p>
        </w:tc>
        <w:tc>
          <w:tcPr>
            <w:tcW w:type="dxa" w:w="4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不可变、可检索、脱敏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11. 验收标准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666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6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可测试验收条件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AC01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上下文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切换店铺/账户/国家/日期后，KPI、队列、诊断、Benchmark 同步刷新；跨页返回保持 context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AC02</w:t>
            </w:r>
          </w:p>
        </w:tc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诊断粒度</w:t>
            </w:r>
          </w:p>
        </w:tc>
        <w:tc>
          <w:tcPr>
            <w:tcW w:type="dxa" w:w="6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同一 creative 在不同 product/account 下产生独立快照，不使用全局结论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AC03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空值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分母为0/数据缺失时指标为 null 并解释，不能显示为0或参与 Index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AC04</w:t>
            </w:r>
          </w:p>
        </w:tc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样本门槛</w:t>
            </w:r>
          </w:p>
        </w:tc>
        <w:tc>
          <w:tcPr>
            <w:tcW w:type="dxa" w:w="6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未同时满足数据完整、24h 与订单/消耗门槛时只可待观察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AC05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Benchmark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样本不足按 L1→L4 回退并显示 level/sample/confidence；低置信度禁用强动作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AC06</w:t>
            </w:r>
          </w:p>
        </w:tc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保护分支</w:t>
            </w:r>
          </w:p>
        </w:tc>
        <w:tc>
          <w:tcPr>
            <w:tcW w:type="dxa" w:w="6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CTR/CVR 正常且 ROI 不达标时锁定素材动作并跳转商品/投放诊断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AC07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唯一结果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每个快照只有一个展示结果、一个主按钮和一个 active action intent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AC08</w:t>
            </w:r>
          </w:p>
        </w:tc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规则可追溯</w:t>
            </w:r>
          </w:p>
        </w:tc>
        <w:tc>
          <w:tcPr>
            <w:tcW w:type="dxa" w:w="6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结果展示 reason_codes、rule_version、data_as_of；历史快照不随新规则改变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AC09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生成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需迭代只改一个主变量；多轮成功结果不被后续失败覆盖；最多5条入选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AC10</w:t>
            </w:r>
          </w:p>
        </w:tc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草稿校验</w:t>
            </w:r>
          </w:p>
        </w:tc>
        <w:tc>
          <w:tcPr>
            <w:tcW w:type="dxa" w:w="6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至少1条可投素材，0&lt;stop_roi&lt;target_roi，其余必填值有效；保存不触发发布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AC11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发布安全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发布前二次确认；重复请求不重复创建；失败保留草稿和 request_id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AC12</w:t>
            </w:r>
          </w:p>
        </w:tc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状态分离</w:t>
            </w:r>
          </w:p>
        </w:tc>
        <w:tc>
          <w:tcPr>
            <w:tcW w:type="dxa" w:w="6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CREATE_SUCCEEDED 不显示投放中；只有 ACTIVE 显示投放中，原始状态/原因可查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AC13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关停可恢复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仅修改确认范围内的投放关系，展示 Before/After，并提供恢复入口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AC14</w:t>
            </w:r>
          </w:p>
        </w:tc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回流</w:t>
            </w:r>
          </w:p>
        </w:tc>
        <w:tc>
          <w:tcPr>
            <w:tcW w:type="dxa" w:w="6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观察时间与订单线同时满足才验收；不可比数据输出 INCONCLUSIVE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AC15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审计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预算、目标、素材、关停、发布均记录 operator/before/after/request_id/platform_response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AC16</w:t>
            </w:r>
          </w:p>
        </w:tc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异常</w:t>
            </w:r>
          </w:p>
        </w:tc>
        <w:tc>
          <w:tcPr>
            <w:tcW w:type="dxa" w:w="6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数据/规则/平台失败均有明确错误、重试和阻塞状态，不用旧值或 mock 值伪装成功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11.1 关键边界测试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  <w:cantSplit/>
        </w:trPr>
        <w:tc>
          <w:tcPr>
            <w:tcW w:type="dxa" w:w="3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测试数据</w:t>
            </w:r>
          </w:p>
        </w:tc>
        <w:tc>
          <w:tcPr>
            <w:tcW w:type="dxa" w:w="5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验证点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roi_index=0.70/0.90/1.00/1.15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验证包含/不包含边界与规则优先级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active_hours=23.99/24，orders=4/5</w:t>
            </w:r>
          </w:p>
        </w:tc>
        <w:tc>
          <w:tcPr>
            <w:tcW w:type="dxa" w:w="5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验证样本门槛，不提前强判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spend=2×target_cpo 前后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验证门槛与浮点精度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benchmark sample=4/5/9/10</w:t>
            </w:r>
          </w:p>
        </w:tc>
        <w:tc>
          <w:tcPr>
            <w:tcW w:type="dxa" w:w="5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验证回退级别和置信限制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CTR/CVR 正常、AOV/库存异常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验证非素材保护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同一素材跨两个商品</w:t>
            </w:r>
          </w:p>
        </w:tc>
        <w:tc>
          <w:tcPr>
            <w:tcW w:type="dxa" w:w="5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验证关停/验证不串上下文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发布超时后重试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验证幂等与未知状态查询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创建成功但审核中/不投放</w:t>
            </w:r>
          </w:p>
        </w:tc>
        <w:tc>
          <w:tcPr>
            <w:tcW w:type="dxa" w:w="5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验证状态不误报 ACTIVE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仅观察时间到、订单不足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验证不能验收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12. 待确认事项与风险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4300"/>
        <w:gridCol w:w="3000"/>
        <w:gridCol w:w="1210"/>
      </w:tblGrid>
      <w:tr>
        <w:trPr>
          <w:tblHeader w:val="true"/>
          <w:cantSplit/>
        </w:trPr>
        <w:tc>
          <w:tcPr>
            <w:tcW w:type="dxa" w:w="8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4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待确认</w:t>
            </w:r>
          </w:p>
        </w:tc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不确认的影响</w:t>
            </w:r>
          </w:p>
        </w:tc>
        <w:tc>
          <w:tcPr>
            <w:tcW w:type="dxa" w:w="12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Owner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D01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平台所谓 Target ROI 的精确口径、退款/取消处理与自然成交归因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影响 ROI、AOV、Target CPO 及所有 Index</w:t>
            </w:r>
          </w:p>
        </w:tc>
        <w:tc>
          <w:tcPr>
            <w:tcW w:type="dxa" w:w="12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数据+投放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D02</w:t>
            </w:r>
          </w:p>
        </w:tc>
        <w:tc>
          <w:tcPr>
            <w:tcW w:type="dxa" w:w="4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商品-素材-账户/计划可获得的最细关系与历史窗口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决定诊断主键和 Benchmark 可比性</w:t>
            </w:r>
          </w:p>
        </w:tc>
        <w:tc>
          <w:tcPr>
            <w:tcW w:type="dxa" w:w="12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数据+后端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D03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 默认阈值与连续窗口定义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决定误判率；必须用历史数据回放验证</w:t>
            </w:r>
          </w:p>
        </w:tc>
        <w:tc>
          <w:tcPr>
            <w:tcW w:type="dxa" w:w="12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业务+算法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D04</w:t>
            </w:r>
          </w:p>
        </w:tc>
        <w:tc>
          <w:tcPr>
            <w:tcW w:type="dxa" w:w="4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Expected AOV 取值：稳定期中位数、商品长期值或平台值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影响 target_cpo 与成熟门槛</w:t>
            </w:r>
          </w:p>
        </w:tc>
        <w:tc>
          <w:tcPr>
            <w:tcW w:type="dxa" w:w="12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数据+业务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D05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平台发布可写字段、审核状态和原始状态枚举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影响 F08 接口与状态映射</w:t>
            </w:r>
          </w:p>
        </w:tc>
        <w:tc>
          <w:tcPr>
            <w:tcW w:type="dxa" w:w="12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后端+投放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D06</w:t>
            </w:r>
          </w:p>
        </w:tc>
        <w:tc>
          <w:tcPr>
            <w:tcW w:type="dxa" w:w="4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“移出素材池/暂停/删除”在平台的实际可恢复动作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影响关停安全与跨商品影响</w:t>
            </w:r>
          </w:p>
        </w:tc>
        <w:tc>
          <w:tcPr>
            <w:tcW w:type="dxa" w:w="12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投放+后端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D07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生成模块可否接收变量锁定、批次、轮次与素材谱系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影响 F06 P0/P1 范围</w:t>
            </w:r>
          </w:p>
        </w:tc>
        <w:tc>
          <w:tcPr>
            <w:tcW w:type="dxa" w:w="12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生成团队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D08</w:t>
            </w:r>
          </w:p>
        </w:tc>
        <w:tc>
          <w:tcPr>
            <w:tcW w:type="dxa" w:w="4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Winner 的统计置信标准与最小订单数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影响回流的可信度</w:t>
            </w:r>
          </w:p>
        </w:tc>
        <w:tc>
          <w:tcPr>
            <w:tcW w:type="dxa" w:w="12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数据+算法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D09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素材覆盖健康的最低可投素材数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原稿的6条不可直接写死</w:t>
            </w:r>
          </w:p>
        </w:tc>
        <w:tc>
          <w:tcPr>
            <w:tcW w:type="dxa" w:w="12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投放业务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D10</w:t>
            </w:r>
          </w:p>
        </w:tc>
        <w:tc>
          <w:tcPr>
            <w:tcW w:type="dxa" w:w="4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GMV 影响预测是否具备训练样本和可解释性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不足则保持 P2，不在 P0 展示金额</w:t>
            </w:r>
          </w:p>
        </w:tc>
        <w:tc>
          <w:tcPr>
            <w:tcW w:type="dxa" w:w="12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算法+产品</w:t>
            </w:r>
          </w:p>
        </w:tc>
      </w:tr>
    </w:tbl>
    <w:p>
      <w:pPr>
        <w:spacing w:before="0" w:after="120"/>
      </w:pPr>
    </w:p>
    <w:p>
      <w:pPr>
        <w:spacing w:before="80" w:after="160"/>
        <w:ind w:left="173" w:right="173"/>
        <w:shd w:fill="FFECEC"/>
        <w:pBdr>
          <w:left w:val="single" w:sz="14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上线门槛  </w:t>
      </w:r>
      <w:r>
        <w:rPr>
          <w:rFonts w:ascii="Calibri" w:hAnsi="Calibri" w:eastAsia="Microsoft YaHei"/>
          <w:color w:val="17181C"/>
          <w:sz w:val="21"/>
        </w:rPr>
        <w:t>D01–D06 未确认前，只能完成 P0 的可解释诊断与草稿闭环；不得把模拟阈值、假平台状态或演示发布当作生产可用能力。</w:t>
      </w:r>
    </w:p>
    <w:p>
      <w:r>
        <w:br w:type="page"/>
      </w:r>
    </w:p>
    <w:p>
      <w:pPr>
        <w:pStyle w:val="Heading1"/>
      </w:pPr>
      <w:r>
        <w:t>附录 A：原型参考（非最终交互规范）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以下图片来自原始 AI 文档，用于说明信息架构和交互意图。最终页面应以本 PRD 的业务规则、状态机、空值和安全约束为准，不继承截图中的 Mock 数字或未定义状态。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16643"/>
            <wp:docPr id="1" name="Picture 1" descr="GMV Max 经营总览原型，包含 KPI、趋势和商品问题队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1d48a3d-d7e1-4ebd-9d48-aaec9a158b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>图 A-1  原稿：经营总览与商品处理队列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64284"/>
            <wp:docPr id="2" name="Picture 2" descr="商品经营诊断抽屉原型，包含诊断结论、证据和受影响素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10c97ba-887c-4905-8238-6bfbbee5834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>图 A-2  原稿：商品经营诊断抽屉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82401"/>
            <wp:docPr id="3" name="Picture 3" descr="GMV Max 投放草稿详情原型，包含目标、预算、素材和观察止损规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2a9ad97-6064-463b-ad03-9538c18bbd6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>图 A-3  原稿：投放草稿确认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120293"/>
            <wp:docPr id="4" name="Picture 4" descr="原素材与变体回流对照表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10955f6-1e17-4282-990d-46436c02d8c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0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>图 A-4  原稿：任务记录与原素材/变体回流</w:t>
      </w:r>
    </w:p>
    <w:p>
      <w:pPr>
        <w:pStyle w:val="Heading1"/>
      </w:pPr>
      <w:r>
        <w:t>附录 B：本版与原稿的范围映射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200"/>
        <w:gridCol w:w="46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原稿范围</w:t>
            </w:r>
          </w:p>
        </w:tc>
        <w:tc>
          <w:tcPr>
            <w:tcW w:type="dxa" w:w="2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本版章节</w:t>
            </w:r>
          </w:p>
        </w:tc>
        <w:tc>
          <w:tcPr>
            <w:tcW w:type="dxa" w:w="4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关键变化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原稿 1–2：定位/菜单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 2–4 章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保留目标与四标签，重构为统一闭环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原稿 3：经营诊断</w:t>
            </w:r>
          </w:p>
        </w:tc>
        <w:tc>
          <w:tcPr>
            <w:tcW w:type="dxa" w:w="2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 5、7.1–7.4</w:t>
            </w:r>
          </w:p>
        </w:tc>
        <w:tc>
          <w:tcPr>
            <w:tcW w:type="dxa" w:w="4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补齐诊断粒度、空值、Benchmark 与规则优先级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原稿 4：六类执行流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 4、5、7.5–7.7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六流程合并为主流程与三类动作分支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原稿 5：投放中心</w:t>
            </w:r>
          </w:p>
        </w:tc>
        <w:tc>
          <w:tcPr>
            <w:tcW w:type="dxa" w:w="2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 7.7–7.8、9 章</w:t>
            </w:r>
          </w:p>
        </w:tc>
        <w:tc>
          <w:tcPr>
            <w:tcW w:type="dxa" w:w="4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拆分草稿、创建与投放生命周期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原稿 6：任务回流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 7.9–7.10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明确时间+订单双门槛与不可比结果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原稿 8：验收</w:t>
            </w:r>
          </w:p>
        </w:tc>
        <w:tc>
          <w:tcPr>
            <w:tcW w:type="dxa" w:w="2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 11 章</w:t>
            </w:r>
          </w:p>
        </w:tc>
        <w:tc>
          <w:tcPr>
            <w:tcW w:type="dxa" w:w="4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改成可测试边界与异常行为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原稿 9：优先级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 6、10 章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按依赖与风险重排 P0–P3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文档结束</w:t>
      </w:r>
    </w:p>
    <w:p>
      <w:pPr/>
      <w:r>
        <w:rPr>
          <w:rFonts w:ascii="Calibri" w:hAnsi="Calibri" w:eastAsia="Microsoft YaHei"/>
          <w:b/>
          <w:i w:val="0"/>
          <w:color w:val="0B2545"/>
          <w:sz w:val="22"/>
        </w:rPr>
        <w:t>建议下一步：由产品、数据与投放业务先完成 D01–D06 决策，再由工程基于 P0 实体与接口边界输出技术方案和拆分排期。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CreatiSignal  |  GMV Max 素材诊断闭环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718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181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before="0" w:after="40" w:line="276" w:lineRule="auto"/>
    </w:pPr>
    <w:rPr>
      <w:rFonts w:ascii="Calibri" w:hAnsi="Calibri" w:eastAsia="Microsoft YaHei"/>
      <w:b w:val="0"/>
      <w:color w:val="17181C"/>
      <w:sz w:val="18"/>
    </w:rPr>
  </w:style>
  <w:style w:type="paragraph" w:customStyle="1" w:styleId="TableHeader">
    <w:name w:val="Table Header"/>
    <w:pPr>
      <w:spacing w:before="0" w:after="0" w:line="264" w:lineRule="auto"/>
    </w:pPr>
    <w:rPr>
      <w:rFonts w:ascii="Calibri" w:hAnsi="Calibri" w:eastAsia="Microsoft YaHei"/>
      <w:b/>
      <w:color w:val="0B2545"/>
      <w:sz w:val="18"/>
    </w:rPr>
  </w:style>
  <w:style w:type="paragraph" w:customStyle="1" w:styleId="CaptionText">
    <w:name w:val="Caption Text"/>
    <w:pPr>
      <w:spacing w:before="80" w:after="160"/>
      <w:jc w:val="center"/>
    </w:pPr>
    <w:rPr>
      <w:rFonts w:ascii="Calibri" w:hAnsi="Calibri" w:eastAsia="Microsoft YaHei"/>
      <w:b w:val="0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CreatiSignal GMV Max 素材诊断闭环 PRD（重构版）</dc:title>
  <dc:subject>从经营异常定位、素材诊断、动作执行、投放草稿到结果回流的工程可落地需求</dc:subject>
  <dc:creator>CreatiSignal Product</dc:creator>
  <cp:keywords>GMV Max, 素材诊断, 决策闭环, 投放中心, 结果回流, PRD</cp:keywords>
  <dc:description>V2.0 restructured engineering-ready PRD based on supplied draft and current repository baseline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