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素材洞察与数据源产品优化方案</w:t>
      </w:r>
    </w:p>
    <w:p>
      <w:pPr>
        <w:spacing w:after="180"/>
      </w:pPr>
      <w:r>
        <w:rPr>
          <w:b w:val="0"/>
        </w:rPr>
        <w:t>产品评审与原型设计依据</w:t>
      </w:r>
    </w:p>
    <w:p>
      <w:pPr>
        <w:spacing w:after="180"/>
      </w:pPr>
      <w:r>
        <w:rPr>
          <w:b w:val="0"/>
        </w:rPr>
        <w:t>版本 V1.0　日期 2026年9月9日</w:t>
      </w:r>
    </w:p>
    <w:p>
      <w:r>
        <w:rPr>
          <w:b w:val="0"/>
        </w:rPr>
        <w:t>本方案面向产品、设计、运营和研发评审，覆盖素材洞察的有数据状态、空状态，以及数据源的账户接入与管理。业务链路从连接 TikTok 广告账户开始，经过选择同步范围、首次同步、查看商品与素材表现，最终形成可执行的素材改版任务。</w:t>
      </w:r>
    </w:p>
    <w:p>
      <w:pPr>
        <w:pStyle w:val="Heading2"/>
      </w:pPr>
      <w:r>
        <w:t>核心结论</w:t>
      </w:r>
    </w:p>
    <w:p>
      <w:r>
        <w:rPr>
          <w:b w:val="0"/>
        </w:rPr>
        <w:t>第一优先级是让用户在素材洞察首屏完成账户接入，并让每种无数据情况都有明确的下一步。第二优先级是合并重复菜单与报表。第三优先级是修正诊断口径，让运营看懂证据，设计师拿到具体修改要求。</w:t>
      </w:r>
    </w:p>
    <w:p>
      <w:pPr>
        <w:pStyle w:val="Heading2"/>
      </w:pPr>
      <w:r>
        <w:t>建议采用的页面结构</w:t>
      </w:r>
    </w:p>
    <w:p>
      <w:r>
        <w:rPr>
          <w:b w:val="0"/>
        </w:rPr>
        <w:t>“洞察 → 素材洞察”下保留“经营总览、素材表现”两个页签；素材诊断通过详情承载，疲劳通过筛选进入。“设置 → 数据源”继续负责长期账户管理，同时在素材洞察首屏和账户选择器提供连接入口。创意任务使用现有“任务”模块承接。</w:t>
      </w:r>
    </w:p>
    <w:p>
      <w:pPr>
        <w:pStyle w:val="Heading2"/>
      </w:pPr>
      <w:r>
        <w:t>本轮范围</w:t>
      </w:r>
    </w:p>
    <w:p>
      <w:r>
        <w:rPr>
          <w:b w:val="0"/>
        </w:rPr>
        <w:t>仅包括素材洞察、数据源及二者到现有创作和任务模块的衔接规则。不包含品牌追踪，不制作原型图，不展开接口、数据库或实现架构。文中的新行为均为产品优化建议，未上线能力应按可用性分阶段开放。</w:t>
      </w:r>
    </w:p>
    <w:p>
      <w:pPr>
        <w:pStyle w:val="Heading2"/>
      </w:pPr>
      <w:r>
        <w:t>评审材料编号</w:t>
      </w:r>
    </w:p>
    <w:p>
      <w:r>
        <w:rPr>
          <w:b w:val="0"/>
        </w:rPr>
        <w:t>本轮空状态截图记为 E01 至 E08，分别对应 Dashboard、素材360、疲劳监测、GMV Max经营总览、GMV Max素材诊断、投放中心、任务记录、数据源。前轮有数据截图记为 D01 至 D05，与前五类页面对应。后续问题可按编号定位。</w:t>
      </w:r>
    </w:p>
    <w:p>
      <w:pPr>
        <w:pStyle w:val="Heading2"/>
      </w:pPr>
      <w:r>
        <w:t>成功标准</w:t>
      </w:r>
    </w:p>
    <w:p>
      <w:r>
        <w:rPr>
          <w:b w:val="0"/>
        </w:rPr>
        <w:t>新用户在首次进入素材洞察时即可找到“连接 TikTok 广告账户”；授权返回后能继续完成同步；老用户遇到异常时知道是账户、同步、筛选还是样本问题；运营能解释为什么建议改版，设计师能指出具体改动和保留内容。</w:t>
      </w:r>
    </w:p>
    <w:p>
      <w:pPr>
        <w:pStyle w:val="Heading1"/>
        <w:pageBreakBefore/>
      </w:pPr>
      <w:r>
        <w:t>1 核心问题与优先级</w:t>
      </w:r>
    </w:p>
    <w:p>
      <w:r>
        <w:rPr>
          <w:b w:val="0"/>
        </w:rPr>
        <w:t>P0 为影响接入、数据理解或诊断可信度的问题。P1 为影响导航与日常效率的问题。P2 为基础链路稳定后补充的能力。</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问题与位置</w:t>
            </w:r>
          </w:p>
        </w:tc>
        <w:tc>
          <w:tcPr>
            <w:tcW w:type="dxa" w:w="3816"/>
            <w:vAlign w:val="center"/>
            <w:shd w:fill="E9EFF2"/>
            <w:tcMar>
              <w:top w:w="85" w:type="dxa"/>
              <w:bottom w:w="85" w:type="dxa"/>
              <w:left w:w="95" w:type="dxa"/>
              <w:right w:w="95" w:type="dxa"/>
            </w:tcMar>
          </w:tcPr>
          <w:p>
            <w:pPr>
              <w:spacing w:after="0" w:line="280" w:lineRule="exact"/>
            </w:pPr>
            <w:r>
              <w:rPr>
                <w:b/>
                <w:sz w:val="20"/>
              </w:rPr>
              <w:t>原因及用户影响</w:t>
            </w:r>
          </w:p>
        </w:tc>
        <w:tc>
          <w:tcPr>
            <w:tcW w:type="dxa" w:w="4090"/>
            <w:vAlign w:val="center"/>
            <w:shd w:fill="E9EFF2"/>
            <w:tcMar>
              <w:top w:w="85" w:type="dxa"/>
              <w:bottom w:w="85" w:type="dxa"/>
              <w:left w:w="95" w:type="dxa"/>
              <w:right w:w="95" w:type="dxa"/>
            </w:tcMar>
          </w:tcPr>
          <w:p>
            <w:pPr>
              <w:spacing w:after="0" w:line="280" w:lineRule="exact"/>
            </w:pPr>
            <w:r>
              <w:rPr>
                <w:b/>
                <w:sz w:val="20"/>
              </w:rPr>
              <w:t>优化建议</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P0 授权入口较深 E01 E08</w:t>
            </w:r>
          </w:p>
        </w:tc>
        <w:tc>
          <w:tcPr>
            <w:tcW w:type="dxa" w:w="3816"/>
            <w:vAlign w:val="center"/>
            <w:shd w:fill="FFFFFF"/>
            <w:tcMar>
              <w:top w:w="85" w:type="dxa"/>
              <w:bottom w:w="85" w:type="dxa"/>
              <w:left w:w="95" w:type="dxa"/>
              <w:right w:w="95" w:type="dxa"/>
            </w:tcMar>
          </w:tcPr>
          <w:p>
            <w:pPr>
              <w:spacing w:after="0" w:line="280" w:lineRule="exact"/>
            </w:pPr>
            <w:r>
              <w:rPr>
                <w:b w:val="0"/>
                <w:sz w:val="20"/>
              </w:rPr>
              <w:t>用户先看到空图表，不知道数据需要接入，也不容易联想到设置中的数据源。</w:t>
            </w:r>
          </w:p>
        </w:tc>
        <w:tc>
          <w:tcPr>
            <w:tcW w:type="dxa" w:w="4090"/>
            <w:vAlign w:val="center"/>
            <w:shd w:fill="FFFFFF"/>
            <w:tcMar>
              <w:top w:w="85" w:type="dxa"/>
              <w:bottom w:w="85" w:type="dxa"/>
              <w:left w:w="95" w:type="dxa"/>
              <w:right w:w="95" w:type="dxa"/>
            </w:tcMar>
          </w:tcPr>
          <w:p>
            <w:pPr>
              <w:spacing w:after="0" w:line="280" w:lineRule="exact"/>
            </w:pPr>
            <w:r>
              <w:rPr>
                <w:b w:val="0"/>
                <w:sz w:val="20"/>
              </w:rPr>
              <w:t>首屏提供明确价值说明和连接按钮，授权与同步完成后回到原入口。</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P0 空状态解释不一致 E01至E05</w:t>
            </w:r>
          </w:p>
        </w:tc>
        <w:tc>
          <w:tcPr>
            <w:tcW w:type="dxa" w:w="3816"/>
            <w:vAlign w:val="center"/>
            <w:shd w:fill="F7F9FA"/>
            <w:tcMar>
              <w:top w:w="85" w:type="dxa"/>
              <w:bottom w:w="85" w:type="dxa"/>
              <w:left w:w="95" w:type="dxa"/>
              <w:right w:w="95" w:type="dxa"/>
            </w:tcMar>
          </w:tcPr>
          <w:p>
            <w:pPr>
              <w:spacing w:after="0" w:line="280" w:lineRule="exact"/>
            </w:pPr>
            <w:r>
              <w:rPr>
                <w:b w:val="0"/>
                <w:sz w:val="20"/>
              </w:rPr>
              <w:t>有的说无趋势，有的说未启用同步，有的让用户调整筛选，用户无法定位问题。</w:t>
            </w:r>
          </w:p>
        </w:tc>
        <w:tc>
          <w:tcPr>
            <w:tcW w:type="dxa" w:w="4090"/>
            <w:vAlign w:val="center"/>
            <w:shd w:fill="F7F9FA"/>
            <w:tcMar>
              <w:top w:w="85" w:type="dxa"/>
              <w:bottom w:w="85" w:type="dxa"/>
              <w:left w:w="95" w:type="dxa"/>
              <w:right w:w="95" w:type="dxa"/>
            </w:tcMar>
          </w:tcPr>
          <w:p>
            <w:pPr>
              <w:spacing w:after="0" w:line="280" w:lineRule="exact"/>
            </w:pPr>
            <w:r>
              <w:rPr>
                <w:b w:val="0"/>
                <w:sz w:val="20"/>
              </w:rPr>
              <w:t>先识别账户与同步状态，再判断范围和样本；使用统一状态规则。</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P0 无数据被解释为经营结论 E03 E05</w:t>
            </w:r>
          </w:p>
        </w:tc>
        <w:tc>
          <w:tcPr>
            <w:tcW w:type="dxa" w:w="3816"/>
            <w:vAlign w:val="center"/>
            <w:shd w:fill="FFFFFF"/>
            <w:tcMar>
              <w:top w:w="85" w:type="dxa"/>
              <w:bottom w:w="85" w:type="dxa"/>
              <w:left w:w="95" w:type="dxa"/>
              <w:right w:w="95" w:type="dxa"/>
            </w:tcMar>
          </w:tcPr>
          <w:p>
            <w:pPr>
              <w:spacing w:after="0" w:line="280" w:lineRule="exact"/>
            </w:pPr>
            <w:r>
              <w:rPr>
                <w:b w:val="0"/>
                <w:sz w:val="20"/>
              </w:rPr>
              <w:t>疲劳分0.0配“正常”，素材供给0条触发健康线6条警告，容易导致错误行动。</w:t>
            </w:r>
          </w:p>
        </w:tc>
        <w:tc>
          <w:tcPr>
            <w:tcW w:type="dxa" w:w="4090"/>
            <w:vAlign w:val="center"/>
            <w:shd w:fill="FFFFFF"/>
            <w:tcMar>
              <w:top w:w="85" w:type="dxa"/>
              <w:bottom w:w="85" w:type="dxa"/>
              <w:left w:w="95" w:type="dxa"/>
              <w:right w:w="95" w:type="dxa"/>
            </w:tcMar>
          </w:tcPr>
          <w:p>
            <w:pPr>
              <w:spacing w:after="0" w:line="280" w:lineRule="exact"/>
            </w:pPr>
            <w:r>
              <w:rPr>
                <w:b w:val="0"/>
                <w:sz w:val="20"/>
              </w:rPr>
              <w:t>数据未就绪时不产生正常、疲劳、供给不足等判断。</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P0 授权成功与可分析混为一谈 E02 E08</w:t>
            </w:r>
          </w:p>
        </w:tc>
        <w:tc>
          <w:tcPr>
            <w:tcW w:type="dxa" w:w="3816"/>
            <w:vAlign w:val="center"/>
            <w:shd w:fill="F7F9FA"/>
            <w:tcMar>
              <w:top w:w="85" w:type="dxa"/>
              <w:bottom w:w="85" w:type="dxa"/>
              <w:left w:w="95" w:type="dxa"/>
              <w:right w:w="95" w:type="dxa"/>
            </w:tcMar>
          </w:tcPr>
          <w:p>
            <w:pPr>
              <w:spacing w:after="0" w:line="280" w:lineRule="exact"/>
            </w:pPr>
            <w:r>
              <w:rPr>
                <w:b w:val="0"/>
                <w:sz w:val="20"/>
              </w:rPr>
              <w:t>用户可能已授权，但未选择账户、未启用同步或首轮未完成。</w:t>
            </w:r>
          </w:p>
        </w:tc>
        <w:tc>
          <w:tcPr>
            <w:tcW w:type="dxa" w:w="4090"/>
            <w:vAlign w:val="center"/>
            <w:shd w:fill="F7F9FA"/>
            <w:tcMar>
              <w:top w:w="85" w:type="dxa"/>
              <w:bottom w:w="85" w:type="dxa"/>
              <w:left w:w="95" w:type="dxa"/>
              <w:right w:w="95" w:type="dxa"/>
            </w:tcMar>
          </w:tcPr>
          <w:p>
            <w:pPr>
              <w:spacing w:after="0" w:line="280" w:lineRule="exact"/>
            </w:pPr>
            <w:r>
              <w:rPr>
                <w:b w:val="0"/>
                <w:sz w:val="20"/>
              </w:rPr>
              <w:t>分开展示连接状态、同步状态、可分析范围，并为每一步提供恢复入口。</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P0 报表数值与口径不一致 D01 D04</w:t>
            </w:r>
          </w:p>
        </w:tc>
        <w:tc>
          <w:tcPr>
            <w:tcW w:type="dxa" w:w="3816"/>
            <w:vAlign w:val="center"/>
            <w:shd w:fill="FFFFFF"/>
            <w:tcMar>
              <w:top w:w="85" w:type="dxa"/>
              <w:bottom w:w="85" w:type="dxa"/>
              <w:left w:w="95" w:type="dxa"/>
              <w:right w:w="95" w:type="dxa"/>
            </w:tcMar>
          </w:tcPr>
          <w:p>
            <w:pPr>
              <w:spacing w:after="0" w:line="280" w:lineRule="exact"/>
            </w:pPr>
            <w:r>
              <w:rPr>
                <w:b w:val="0"/>
                <w:sz w:val="20"/>
              </w:rPr>
              <w:t>同为花费40.59美元，点击与转化展示不同，影响信任。</w:t>
            </w:r>
          </w:p>
        </w:tc>
        <w:tc>
          <w:tcPr>
            <w:tcW w:type="dxa" w:w="4090"/>
            <w:vAlign w:val="center"/>
            <w:shd w:fill="FFFFFF"/>
            <w:tcMar>
              <w:top w:w="85" w:type="dxa"/>
              <w:bottom w:w="85" w:type="dxa"/>
              <w:left w:w="95" w:type="dxa"/>
              <w:right w:w="95" w:type="dxa"/>
            </w:tcMar>
          </w:tcPr>
          <w:p>
            <w:pPr>
              <w:spacing w:after="0" w:line="280" w:lineRule="exact"/>
            </w:pPr>
            <w:r>
              <w:rPr>
                <w:b w:val="0"/>
                <w:sz w:val="20"/>
              </w:rPr>
              <w:t>统一时间、账户、商品及指标口径；无法对齐时明确范围差异。</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P0 低样本仍给强结论 D02至D05</w:t>
            </w:r>
          </w:p>
        </w:tc>
        <w:tc>
          <w:tcPr>
            <w:tcW w:type="dxa" w:w="3816"/>
            <w:vAlign w:val="center"/>
            <w:shd w:fill="F7F9FA"/>
            <w:tcMar>
              <w:top w:w="85" w:type="dxa"/>
              <w:bottom w:w="85" w:type="dxa"/>
              <w:left w:w="95" w:type="dxa"/>
              <w:right w:w="95" w:type="dxa"/>
            </w:tcMar>
          </w:tcPr>
          <w:p>
            <w:pPr>
              <w:spacing w:after="0" w:line="280" w:lineRule="exact"/>
            </w:pPr>
            <w:r>
              <w:rPr>
                <w:b w:val="0"/>
                <w:sz w:val="20"/>
              </w:rPr>
              <w:t>零或极低消耗素材被评为优质，样本未成熟却推断素材问题。</w:t>
            </w:r>
          </w:p>
        </w:tc>
        <w:tc>
          <w:tcPr>
            <w:tcW w:type="dxa" w:w="4090"/>
            <w:vAlign w:val="center"/>
            <w:shd w:fill="F7F9FA"/>
            <w:tcMar>
              <w:top w:w="85" w:type="dxa"/>
              <w:bottom w:w="85" w:type="dxa"/>
              <w:left w:w="95" w:type="dxa"/>
              <w:right w:w="95" w:type="dxa"/>
            </w:tcMar>
          </w:tcPr>
          <w:p>
            <w:pPr>
              <w:spacing w:after="0" w:line="280" w:lineRule="exact"/>
            </w:pPr>
            <w:r>
              <w:rPr>
                <w:b w:val="0"/>
                <w:sz w:val="20"/>
              </w:rPr>
              <w:t>区分内容结构评价、投放观察和数据支持的诊断，展示证据充分程度。</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P1 菜单与页签重复 全部洞察页</w:t>
            </w:r>
          </w:p>
        </w:tc>
        <w:tc>
          <w:tcPr>
            <w:tcW w:type="dxa" w:w="3816"/>
            <w:vAlign w:val="center"/>
            <w:shd w:fill="FFFFFF"/>
            <w:tcMar>
              <w:top w:w="85" w:type="dxa"/>
              <w:bottom w:w="85" w:type="dxa"/>
              <w:left w:w="95" w:type="dxa"/>
              <w:right w:w="95" w:type="dxa"/>
            </w:tcMar>
          </w:tcPr>
          <w:p>
            <w:pPr>
              <w:spacing w:after="0" w:line="280" w:lineRule="exact"/>
            </w:pPr>
            <w:r>
              <w:rPr>
                <w:b w:val="0"/>
                <w:sz w:val="20"/>
              </w:rPr>
              <w:t>Dashboard与经营总览、素材360与素材诊断、疲劳与阶段分类交叉。</w:t>
            </w:r>
          </w:p>
        </w:tc>
        <w:tc>
          <w:tcPr>
            <w:tcW w:type="dxa" w:w="4090"/>
            <w:vAlign w:val="center"/>
            <w:shd w:fill="FFFFFF"/>
            <w:tcMar>
              <w:top w:w="85" w:type="dxa"/>
              <w:bottom w:w="85" w:type="dxa"/>
              <w:left w:w="95" w:type="dxa"/>
              <w:right w:w="95" w:type="dxa"/>
            </w:tcMar>
          </w:tcPr>
          <w:p>
            <w:pPr>
              <w:spacing w:after="0" w:line="280" w:lineRule="exact"/>
            </w:pPr>
            <w:r>
              <w:rPr>
                <w:b w:val="0"/>
                <w:sz w:val="20"/>
              </w:rPr>
              <w:t>收敛为经营总览和素材表现，详情承载深入诊断。</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P1 未上线页面占主路径 E06 E07</w:t>
            </w:r>
          </w:p>
        </w:tc>
        <w:tc>
          <w:tcPr>
            <w:tcW w:type="dxa" w:w="3816"/>
            <w:vAlign w:val="center"/>
            <w:shd w:fill="F7F9FA"/>
            <w:tcMar>
              <w:top w:w="85" w:type="dxa"/>
              <w:bottom w:w="85" w:type="dxa"/>
              <w:left w:w="95" w:type="dxa"/>
              <w:right w:w="95" w:type="dxa"/>
            </w:tcMar>
          </w:tcPr>
          <w:p>
            <w:pPr>
              <w:spacing w:after="0" w:line="280" w:lineRule="exact"/>
            </w:pPr>
            <w:r>
              <w:rPr>
                <w:b w:val="0"/>
                <w:sz w:val="20"/>
              </w:rPr>
              <w:t>用户点入后看到内部研发说明，无法继续工作。</w:t>
            </w:r>
          </w:p>
        </w:tc>
        <w:tc>
          <w:tcPr>
            <w:tcW w:type="dxa" w:w="4090"/>
            <w:vAlign w:val="center"/>
            <w:shd w:fill="F7F9FA"/>
            <w:tcMar>
              <w:top w:w="85" w:type="dxa"/>
              <w:bottom w:w="85" w:type="dxa"/>
              <w:left w:w="95" w:type="dxa"/>
              <w:right w:w="95" w:type="dxa"/>
            </w:tcMar>
          </w:tcPr>
          <w:p>
            <w:pPr>
              <w:spacing w:after="0" w:line="280" w:lineRule="exact"/>
            </w:pPr>
            <w:r>
              <w:rPr>
                <w:b w:val="0"/>
                <w:sz w:val="20"/>
              </w:rPr>
              <w:t>隐藏未开放入口，能力上线后接入现有任务或创作流程。</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P1 账户和素材主要用ID表达 D02 D05 E04</w:t>
            </w:r>
          </w:p>
        </w:tc>
        <w:tc>
          <w:tcPr>
            <w:tcW w:type="dxa" w:w="3816"/>
            <w:vAlign w:val="center"/>
            <w:shd w:fill="FFFFFF"/>
            <w:tcMar>
              <w:top w:w="85" w:type="dxa"/>
              <w:bottom w:w="85" w:type="dxa"/>
              <w:left w:w="95" w:type="dxa"/>
              <w:right w:w="95" w:type="dxa"/>
            </w:tcMar>
          </w:tcPr>
          <w:p>
            <w:pPr>
              <w:spacing w:after="0" w:line="280" w:lineRule="exact"/>
            </w:pPr>
            <w:r>
              <w:rPr>
                <w:b w:val="0"/>
                <w:sz w:val="20"/>
              </w:rPr>
              <w:t>运营难识别账户，设计师难识别视频与商品。</w:t>
            </w:r>
          </w:p>
        </w:tc>
        <w:tc>
          <w:tcPr>
            <w:tcW w:type="dxa" w:w="4090"/>
            <w:vAlign w:val="center"/>
            <w:shd w:fill="FFFFFF"/>
            <w:tcMar>
              <w:top w:w="85" w:type="dxa"/>
              <w:bottom w:w="85" w:type="dxa"/>
              <w:left w:w="95" w:type="dxa"/>
              <w:right w:w="95" w:type="dxa"/>
            </w:tcMar>
          </w:tcPr>
          <w:p>
            <w:pPr>
              <w:spacing w:after="0" w:line="280" w:lineRule="exact"/>
            </w:pPr>
            <w:r>
              <w:rPr>
                <w:b w:val="0"/>
                <w:sz w:val="20"/>
              </w:rPr>
              <w:t>使用名称、封面和商品信息，ID只保留复制与查验用途。</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P1 观察对象挤占待处理列表 D03 D04</w:t>
            </w:r>
          </w:p>
        </w:tc>
        <w:tc>
          <w:tcPr>
            <w:tcW w:type="dxa" w:w="3816"/>
            <w:vAlign w:val="center"/>
            <w:shd w:fill="F7F9FA"/>
            <w:tcMar>
              <w:top w:w="85" w:type="dxa"/>
              <w:bottom w:w="85" w:type="dxa"/>
              <w:left w:w="95" w:type="dxa"/>
              <w:right w:w="95" w:type="dxa"/>
            </w:tcMar>
          </w:tcPr>
          <w:p>
            <w:pPr>
              <w:spacing w:after="0" w:line="280" w:lineRule="exact"/>
            </w:pPr>
            <w:r>
              <w:rPr>
                <w:b w:val="0"/>
                <w:sz w:val="20"/>
              </w:rPr>
              <w:t>“继续观察”被当作动作，962个观察商品淹没真正问题。</w:t>
            </w:r>
          </w:p>
        </w:tc>
        <w:tc>
          <w:tcPr>
            <w:tcW w:type="dxa" w:w="4090"/>
            <w:vAlign w:val="center"/>
            <w:shd w:fill="F7F9FA"/>
            <w:tcMar>
              <w:top w:w="85" w:type="dxa"/>
              <w:bottom w:w="85" w:type="dxa"/>
              <w:left w:w="95" w:type="dxa"/>
              <w:right w:w="95" w:type="dxa"/>
            </w:tcMar>
          </w:tcPr>
          <w:p>
            <w:pPr>
              <w:spacing w:after="0" w:line="280" w:lineRule="exact"/>
            </w:pPr>
            <w:r>
              <w:rPr>
                <w:b w:val="0"/>
                <w:sz w:val="20"/>
              </w:rPr>
              <w:t>默认展示需处理对象，观察对象单独筛选并标明复核条件。</w:t>
            </w:r>
          </w:p>
        </w:tc>
      </w:tr>
    </w:tbl>
    <w:p>
      <w:pPr>
        <w:spacing w:after="20" w:before="0" w:line="240" w:lineRule="auto"/>
      </w:pPr>
      <w:r>
        <w:rPr>
          <w:sz w:val="4"/>
        </w:rPr>
      </w:r>
    </w:p>
    <w:p>
      <w:r>
        <w:rPr>
          <w:b w:val="0"/>
        </w:rPr>
        <w:t>处理顺序建议为：账户接入与状态修正 → 页面合并 → 数据口径与证据诊断 → 创意任务衔接。数据可信度修正与接入改造可并行评审。</w:t>
      </w:r>
    </w:p>
    <w:p>
      <w:pPr>
        <w:pStyle w:val="Heading1"/>
        <w:pageBreakBefore/>
      </w:pPr>
      <w:r>
        <w:t>2 信息架构与菜单合并</w:t>
      </w:r>
    </w:p>
    <w:p>
      <w:pPr>
        <w:pStyle w:val="Heading2"/>
      </w:pPr>
      <w:r>
        <w:t>推荐方案</w:t>
      </w:r>
    </w:p>
    <w:p>
      <w:r>
        <w:rPr>
          <w:b w:val="0"/>
        </w:rPr>
        <w:t>保留左侧“洞察 → 素材洞察”，页面统一命名为“素材洞察”。顶部仅保留“经营总览、素材表现”。GMV Max与竞价广告作为投放模式选择，不再同时作为功能页签。“数据源”保留在设置中承担管理职责，并提供场景内的连接快捷入口。</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当前入口</w:t>
            </w:r>
          </w:p>
        </w:tc>
        <w:tc>
          <w:tcPr>
            <w:tcW w:type="dxa" w:w="3816"/>
            <w:vAlign w:val="center"/>
            <w:shd w:fill="E9EFF2"/>
            <w:tcMar>
              <w:top w:w="85" w:type="dxa"/>
              <w:bottom w:w="85" w:type="dxa"/>
              <w:left w:w="95" w:type="dxa"/>
              <w:right w:w="95" w:type="dxa"/>
            </w:tcMar>
          </w:tcPr>
          <w:p>
            <w:pPr>
              <w:spacing w:after="0" w:line="280" w:lineRule="exact"/>
            </w:pPr>
            <w:r>
              <w:rPr>
                <w:b/>
                <w:sz w:val="20"/>
              </w:rPr>
              <w:t>建议去向</w:t>
            </w:r>
          </w:p>
        </w:tc>
        <w:tc>
          <w:tcPr>
            <w:tcW w:type="dxa" w:w="4090"/>
            <w:vAlign w:val="center"/>
            <w:shd w:fill="E9EFF2"/>
            <w:tcMar>
              <w:top w:w="85" w:type="dxa"/>
              <w:bottom w:w="85" w:type="dxa"/>
              <w:left w:w="95" w:type="dxa"/>
              <w:right w:w="95" w:type="dxa"/>
            </w:tcMar>
          </w:tcPr>
          <w:p>
            <w:pPr>
              <w:spacing w:after="0" w:line="280" w:lineRule="exact"/>
            </w:pPr>
            <w:r>
              <w:rPr>
                <w:b/>
                <w:sz w:val="20"/>
              </w:rPr>
              <w:t>用户获得的变化</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Dashboard</w:t>
            </w:r>
          </w:p>
        </w:tc>
        <w:tc>
          <w:tcPr>
            <w:tcW w:type="dxa" w:w="3816"/>
            <w:vAlign w:val="center"/>
            <w:shd w:fill="FFFFFF"/>
            <w:tcMar>
              <w:top w:w="85" w:type="dxa"/>
              <w:bottom w:w="85" w:type="dxa"/>
              <w:left w:w="95" w:type="dxa"/>
              <w:right w:w="95" w:type="dxa"/>
            </w:tcMar>
          </w:tcPr>
          <w:p>
            <w:pPr>
              <w:spacing w:after="0" w:line="280" w:lineRule="exact"/>
            </w:pPr>
            <w:r>
              <w:rPr>
                <w:b w:val="0"/>
                <w:sz w:val="20"/>
              </w:rPr>
              <w:t>合并至经营总览</w:t>
            </w:r>
          </w:p>
        </w:tc>
        <w:tc>
          <w:tcPr>
            <w:tcW w:type="dxa" w:w="4090"/>
            <w:vAlign w:val="center"/>
            <w:shd w:fill="FFFFFF"/>
            <w:tcMar>
              <w:top w:w="85" w:type="dxa"/>
              <w:bottom w:w="85" w:type="dxa"/>
              <w:left w:w="95" w:type="dxa"/>
              <w:right w:w="95" w:type="dxa"/>
            </w:tcMar>
          </w:tcPr>
          <w:p>
            <w:pPr>
              <w:spacing w:after="0" w:line="280" w:lineRule="exact"/>
            </w:pPr>
            <w:r>
              <w:rPr>
                <w:b w:val="0"/>
                <w:sz w:val="20"/>
              </w:rPr>
              <w:t>只需认一套汇总指标与趋势。</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GMV Max诊断 → 经营总览</w:t>
            </w:r>
          </w:p>
        </w:tc>
        <w:tc>
          <w:tcPr>
            <w:tcW w:type="dxa" w:w="3816"/>
            <w:vAlign w:val="center"/>
            <w:shd w:fill="F7F9FA"/>
            <w:tcMar>
              <w:top w:w="85" w:type="dxa"/>
              <w:bottom w:w="85" w:type="dxa"/>
              <w:left w:w="95" w:type="dxa"/>
              <w:right w:w="95" w:type="dxa"/>
            </w:tcMar>
          </w:tcPr>
          <w:p>
            <w:pPr>
              <w:spacing w:after="0" w:line="280" w:lineRule="exact"/>
            </w:pPr>
            <w:r>
              <w:rPr>
                <w:b w:val="0"/>
                <w:sz w:val="20"/>
              </w:rPr>
              <w:t>合并至经营总览</w:t>
            </w:r>
          </w:p>
        </w:tc>
        <w:tc>
          <w:tcPr>
            <w:tcW w:type="dxa" w:w="4090"/>
            <w:vAlign w:val="center"/>
            <w:shd w:fill="F7F9FA"/>
            <w:tcMar>
              <w:top w:w="85" w:type="dxa"/>
              <w:bottom w:w="85" w:type="dxa"/>
              <w:left w:w="95" w:type="dxa"/>
              <w:right w:w="95" w:type="dxa"/>
            </w:tcMar>
          </w:tcPr>
          <w:p>
            <w:pPr>
              <w:spacing w:after="0" w:line="280" w:lineRule="exact"/>
            </w:pPr>
            <w:r>
              <w:rPr>
                <w:b w:val="0"/>
                <w:sz w:val="20"/>
              </w:rPr>
              <w:t>按当前投放模式展示对应口径。</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素材360</w:t>
            </w:r>
          </w:p>
        </w:tc>
        <w:tc>
          <w:tcPr>
            <w:tcW w:type="dxa" w:w="3816"/>
            <w:vAlign w:val="center"/>
            <w:shd w:fill="FFFFFF"/>
            <w:tcMar>
              <w:top w:w="85" w:type="dxa"/>
              <w:bottom w:w="85" w:type="dxa"/>
              <w:left w:w="95" w:type="dxa"/>
              <w:right w:w="95" w:type="dxa"/>
            </w:tcMar>
          </w:tcPr>
          <w:p>
            <w:pPr>
              <w:spacing w:after="0" w:line="280" w:lineRule="exact"/>
            </w:pPr>
            <w:r>
              <w:rPr>
                <w:b w:val="0"/>
                <w:sz w:val="20"/>
              </w:rPr>
              <w:t>合并至素材表现</w:t>
            </w:r>
          </w:p>
        </w:tc>
        <w:tc>
          <w:tcPr>
            <w:tcW w:type="dxa" w:w="4090"/>
            <w:vAlign w:val="center"/>
            <w:shd w:fill="FFFFFF"/>
            <w:tcMar>
              <w:top w:w="85" w:type="dxa"/>
              <w:bottom w:w="85" w:type="dxa"/>
              <w:left w:w="95" w:type="dxa"/>
              <w:right w:w="95" w:type="dxa"/>
            </w:tcMar>
          </w:tcPr>
          <w:p>
            <w:pPr>
              <w:spacing w:after="0" w:line="280" w:lineRule="exact"/>
            </w:pPr>
            <w:r>
              <w:rPr>
                <w:b w:val="0"/>
                <w:sz w:val="20"/>
              </w:rPr>
              <w:t>统一浏览、筛选和比较素材。</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GMV Max诊断 → 素材诊断</w:t>
            </w:r>
          </w:p>
        </w:tc>
        <w:tc>
          <w:tcPr>
            <w:tcW w:type="dxa" w:w="3816"/>
            <w:vAlign w:val="center"/>
            <w:shd w:fill="F7F9FA"/>
            <w:tcMar>
              <w:top w:w="85" w:type="dxa"/>
              <w:bottom w:w="85" w:type="dxa"/>
              <w:left w:w="95" w:type="dxa"/>
              <w:right w:w="95" w:type="dxa"/>
            </w:tcMar>
          </w:tcPr>
          <w:p>
            <w:pPr>
              <w:spacing w:after="0" w:line="280" w:lineRule="exact"/>
            </w:pPr>
            <w:r>
              <w:rPr>
                <w:b w:val="0"/>
                <w:sz w:val="20"/>
              </w:rPr>
              <w:t>素材表现中的诊断状态及详情</w:t>
            </w:r>
          </w:p>
        </w:tc>
        <w:tc>
          <w:tcPr>
            <w:tcW w:type="dxa" w:w="4090"/>
            <w:vAlign w:val="center"/>
            <w:shd w:fill="F7F9FA"/>
            <w:tcMar>
              <w:top w:w="85" w:type="dxa"/>
              <w:bottom w:w="85" w:type="dxa"/>
              <w:left w:w="95" w:type="dxa"/>
              <w:right w:w="95" w:type="dxa"/>
            </w:tcMar>
          </w:tcPr>
          <w:p>
            <w:pPr>
              <w:spacing w:after="0" w:line="280" w:lineRule="exact"/>
            </w:pPr>
            <w:r>
              <w:rPr>
                <w:b w:val="0"/>
                <w:sz w:val="20"/>
              </w:rPr>
              <w:t>看见问题后直接进入证据和建议。</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疲劳监测</w:t>
            </w:r>
          </w:p>
        </w:tc>
        <w:tc>
          <w:tcPr>
            <w:tcW w:type="dxa" w:w="3816"/>
            <w:vAlign w:val="center"/>
            <w:shd w:fill="FFFFFF"/>
            <w:tcMar>
              <w:top w:w="85" w:type="dxa"/>
              <w:bottom w:w="85" w:type="dxa"/>
              <w:left w:w="95" w:type="dxa"/>
              <w:right w:w="95" w:type="dxa"/>
            </w:tcMar>
          </w:tcPr>
          <w:p>
            <w:pPr>
              <w:spacing w:after="0" w:line="280" w:lineRule="exact"/>
            </w:pPr>
            <w:r>
              <w:rPr>
                <w:b w:val="0"/>
                <w:sz w:val="20"/>
              </w:rPr>
              <w:t>素材表现中的疑似疲劳筛选</w:t>
            </w:r>
          </w:p>
        </w:tc>
        <w:tc>
          <w:tcPr>
            <w:tcW w:type="dxa" w:w="4090"/>
            <w:vAlign w:val="center"/>
            <w:shd w:fill="FFFFFF"/>
            <w:tcMar>
              <w:top w:w="85" w:type="dxa"/>
              <w:bottom w:w="85" w:type="dxa"/>
              <w:left w:w="95" w:type="dxa"/>
              <w:right w:w="95" w:type="dxa"/>
            </w:tcMar>
          </w:tcPr>
          <w:p>
            <w:pPr>
              <w:spacing w:after="0" w:line="280" w:lineRule="exact"/>
            </w:pPr>
            <w:r>
              <w:rPr>
                <w:b w:val="0"/>
                <w:sz w:val="20"/>
              </w:rPr>
              <w:t>保留能力，减少独立报表入口。</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生命周期与优质标签</w:t>
            </w:r>
          </w:p>
        </w:tc>
        <w:tc>
          <w:tcPr>
            <w:tcW w:type="dxa" w:w="3816"/>
            <w:vAlign w:val="center"/>
            <w:shd w:fill="F7F9FA"/>
            <w:tcMar>
              <w:top w:w="85" w:type="dxa"/>
              <w:bottom w:w="85" w:type="dxa"/>
              <w:left w:w="95" w:type="dxa"/>
              <w:right w:w="95" w:type="dxa"/>
            </w:tcMar>
          </w:tcPr>
          <w:p>
            <w:pPr>
              <w:spacing w:after="0" w:line="280" w:lineRule="exact"/>
            </w:pPr>
            <w:r>
              <w:rPr>
                <w:b w:val="0"/>
                <w:sz w:val="20"/>
              </w:rPr>
              <w:t>分成阶段筛选和诊断筛选</w:t>
            </w:r>
          </w:p>
        </w:tc>
        <w:tc>
          <w:tcPr>
            <w:tcW w:type="dxa" w:w="4090"/>
            <w:vAlign w:val="center"/>
            <w:shd w:fill="F7F9FA"/>
            <w:tcMar>
              <w:top w:w="85" w:type="dxa"/>
              <w:bottom w:w="85" w:type="dxa"/>
              <w:left w:w="95" w:type="dxa"/>
              <w:right w:w="95" w:type="dxa"/>
            </w:tcMar>
          </w:tcPr>
          <w:p>
            <w:pPr>
              <w:spacing w:after="0" w:line="280" w:lineRule="exact"/>
            </w:pPr>
            <w:r>
              <w:rPr>
                <w:b w:val="0"/>
                <w:sz w:val="20"/>
              </w:rPr>
              <w:t>明确不同维度可以组合。</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投放中心</w:t>
            </w:r>
          </w:p>
        </w:tc>
        <w:tc>
          <w:tcPr>
            <w:tcW w:type="dxa" w:w="3816"/>
            <w:vAlign w:val="center"/>
            <w:shd w:fill="FFFFFF"/>
            <w:tcMar>
              <w:top w:w="85" w:type="dxa"/>
              <w:bottom w:w="85" w:type="dxa"/>
              <w:left w:w="95" w:type="dxa"/>
              <w:right w:w="95" w:type="dxa"/>
            </w:tcMar>
          </w:tcPr>
          <w:p>
            <w:pPr>
              <w:spacing w:after="0" w:line="280" w:lineRule="exact"/>
            </w:pPr>
            <w:r>
              <w:rPr>
                <w:b w:val="0"/>
                <w:sz w:val="20"/>
              </w:rPr>
              <w:t>当前隐藏；可用后从任务详情进入</w:t>
            </w:r>
          </w:p>
        </w:tc>
        <w:tc>
          <w:tcPr>
            <w:tcW w:type="dxa" w:w="4090"/>
            <w:vAlign w:val="center"/>
            <w:shd w:fill="FFFFFF"/>
            <w:tcMar>
              <w:top w:w="85" w:type="dxa"/>
              <w:bottom w:w="85" w:type="dxa"/>
              <w:left w:w="95" w:type="dxa"/>
              <w:right w:w="95" w:type="dxa"/>
            </w:tcMar>
          </w:tcPr>
          <w:p>
            <w:pPr>
              <w:spacing w:after="0" w:line="280" w:lineRule="exact"/>
            </w:pPr>
            <w:r>
              <w:rPr>
                <w:b w:val="0"/>
                <w:sz w:val="20"/>
              </w:rPr>
              <w:t>不再进入只有“即将上线”的页面。</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任务记录</w:t>
            </w:r>
          </w:p>
        </w:tc>
        <w:tc>
          <w:tcPr>
            <w:tcW w:type="dxa" w:w="3816"/>
            <w:vAlign w:val="center"/>
            <w:shd w:fill="F7F9FA"/>
            <w:tcMar>
              <w:top w:w="85" w:type="dxa"/>
              <w:bottom w:w="85" w:type="dxa"/>
              <w:left w:w="95" w:type="dxa"/>
              <w:right w:w="95" w:type="dxa"/>
            </w:tcMar>
          </w:tcPr>
          <w:p>
            <w:pPr>
              <w:spacing w:after="0" w:line="280" w:lineRule="exact"/>
            </w:pPr>
            <w:r>
              <w:rPr>
                <w:b w:val="0"/>
                <w:sz w:val="20"/>
              </w:rPr>
              <w:t>合并到左侧任务模块的创意任务筛选</w:t>
            </w:r>
          </w:p>
        </w:tc>
        <w:tc>
          <w:tcPr>
            <w:tcW w:type="dxa" w:w="4090"/>
            <w:vAlign w:val="center"/>
            <w:shd w:fill="F7F9FA"/>
            <w:tcMar>
              <w:top w:w="85" w:type="dxa"/>
              <w:bottom w:w="85" w:type="dxa"/>
              <w:left w:w="95" w:type="dxa"/>
              <w:right w:w="95" w:type="dxa"/>
            </w:tcMar>
          </w:tcPr>
          <w:p>
            <w:pPr>
              <w:spacing w:after="0" w:line="280" w:lineRule="exact"/>
            </w:pPr>
            <w:r>
              <w:rPr>
                <w:b w:val="0"/>
                <w:sz w:val="20"/>
              </w:rPr>
              <w:t>同一任务只维护一个记录。</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设置 → 数据源</w:t>
            </w:r>
          </w:p>
        </w:tc>
        <w:tc>
          <w:tcPr>
            <w:tcW w:type="dxa" w:w="3816"/>
            <w:vAlign w:val="center"/>
            <w:shd w:fill="FFFFFF"/>
            <w:tcMar>
              <w:top w:w="85" w:type="dxa"/>
              <w:bottom w:w="85" w:type="dxa"/>
              <w:left w:w="95" w:type="dxa"/>
              <w:right w:w="95" w:type="dxa"/>
            </w:tcMar>
          </w:tcPr>
          <w:p>
            <w:pPr>
              <w:spacing w:after="0" w:line="280" w:lineRule="exact"/>
            </w:pPr>
            <w:r>
              <w:rPr>
                <w:b w:val="0"/>
                <w:sz w:val="20"/>
              </w:rPr>
              <w:t>保留；洞察页增加快捷入口</w:t>
            </w:r>
          </w:p>
        </w:tc>
        <w:tc>
          <w:tcPr>
            <w:tcW w:type="dxa" w:w="4090"/>
            <w:vAlign w:val="center"/>
            <w:shd w:fill="FFFFFF"/>
            <w:tcMar>
              <w:top w:w="85" w:type="dxa"/>
              <w:bottom w:w="85" w:type="dxa"/>
              <w:left w:w="95" w:type="dxa"/>
              <w:right w:w="95" w:type="dxa"/>
            </w:tcMar>
          </w:tcPr>
          <w:p>
            <w:pPr>
              <w:spacing w:after="0" w:line="280" w:lineRule="exact"/>
            </w:pPr>
            <w:r>
              <w:rPr>
                <w:b w:val="0"/>
                <w:sz w:val="20"/>
              </w:rPr>
              <w:t>新用户容易连接，老用户容易管理。</w:t>
            </w:r>
          </w:p>
        </w:tc>
      </w:tr>
    </w:tbl>
    <w:p>
      <w:pPr>
        <w:spacing w:after="20" w:before="0" w:line="240" w:lineRule="auto"/>
      </w:pPr>
      <w:r>
        <w:rPr>
          <w:sz w:val="4"/>
        </w:rPr>
      </w:r>
    </w:p>
    <w:p>
      <w:pPr>
        <w:pStyle w:val="Heading2"/>
      </w:pPr>
      <w:r>
        <w:t>统一筛选规则</w:t>
      </w:r>
    </w:p>
    <w:p>
      <w:r>
        <w:rPr>
          <w:b w:val="0"/>
        </w:rPr>
        <w:t>顶部只保留一组投放模式、账户或店铺、日期范围。先选择模式，再展示该模式可用的账户与店铺；不要求竞价广告用户必须有店铺。范围不兼容时说明原因并让用户选择，不静默跳到其他账户。商品、诊断状态、风格等局部条件放素材列表上方。</w:t>
      </w:r>
    </w:p>
    <w:p>
      <w:r>
        <w:rPr>
          <w:b w:val="0"/>
        </w:rPr>
        <w:t>首次未连接时隐藏无意义的账户下拉、日期设置和空分类；保留页面名称及模块定位。跨页保留兼容的筛选条件，并显示具体起止日期。全部店铺汇总前明确币种、时区和可用范围，不能直接混加不同币种。</w:t>
      </w:r>
    </w:p>
    <w:p>
      <w:pPr>
        <w:pStyle w:val="Heading2"/>
      </w:pPr>
      <w:r>
        <w:t>方案取舍</w:t>
      </w:r>
    </w:p>
    <w:p>
      <w:r>
        <w:rPr>
          <w:b w:val="0"/>
        </w:rPr>
        <w:t>仅增加授权按钮的改动最小，但菜单与口径重复仍存在；重建独立诊断工作台的调整范围过大。推荐保留现有模块归属、合并页面职责，授权组件与数据源管理共用同一套状态和结果。</w:t>
      </w:r>
    </w:p>
    <w:p>
      <w:pPr>
        <w:pStyle w:val="Heading1"/>
        <w:pageBreakBefore/>
      </w:pPr>
      <w:r>
        <w:t>3 首次接入与返回流程</w:t>
      </w:r>
    </w:p>
    <w:p>
      <w:pPr>
        <w:pStyle w:val="Heading2"/>
      </w:pPr>
      <w:r>
        <w:t>业务流程</w:t>
      </w:r>
    </w:p>
    <w:p>
      <w:r>
        <w:rPr>
          <w:b w:val="0"/>
        </w:rPr>
        <w:t>进入素材洞察 → 识别当前连接与同步状态 → 连接平台账户 → 选择要接入的广告账户 → 按需确认店铺与数据范围 → 点击“开始同步” → 查看同步结果 → 进入经营总览或返回原素材页面。</w:t>
      </w:r>
    </w:p>
    <w:p>
      <w:pPr>
        <w:spacing w:after="100"/>
      </w:pPr>
      <w:r>
        <w:rPr>
          <w:b w:val="0"/>
        </w:rPr>
        <w:t>1. 未接入时，首屏说明“连接后可查看商品与素材表现，并形成改版建议”，主按钮为“连接 TikTok 广告账户”。链接按钮直接开始接入流程，避免只告诉用户去设置查找。</w:t>
      </w:r>
    </w:p>
    <w:p>
      <w:pPr>
        <w:spacing w:after="100"/>
      </w:pPr>
      <w:r>
        <w:rPr>
          <w:b w:val="0"/>
        </w:rPr>
        <w:t>2. 进入平台授权前，说明此次将读取哪些数据及实际申请的权限。产品文案必须与真实授权范围一致；本轮数据分析流程不因连接账户自动创建广告、修改预算或执行投放。</w:t>
      </w:r>
    </w:p>
    <w:p>
      <w:pPr>
        <w:spacing w:after="100"/>
      </w:pPr>
      <w:r>
        <w:rPr>
          <w:b w:val="0"/>
        </w:rPr>
        <w:t>3. 平台授权成功后展示可选账户名称和辅助ID，由用户确认接入范围。默认不替用户全选多个账户；只有一个可选账户时可预选，仍在开始同步前展示范围。</w:t>
      </w:r>
    </w:p>
    <w:p>
      <w:pPr>
        <w:spacing w:after="100"/>
      </w:pPr>
      <w:r>
        <w:rPr>
          <w:b w:val="0"/>
        </w:rPr>
        <w:t>4. 若 GMV Max 所需店铺或商品报表权限尚未具备，列出已具备和缺少的能力，只针对缺口补充授权或选择关联关系。不能承诺广告账户授权一次就必然获得全部店铺数据。</w:t>
      </w:r>
    </w:p>
    <w:p>
      <w:pPr>
        <w:spacing w:after="100"/>
      </w:pPr>
      <w:r>
        <w:rPr>
          <w:b w:val="0"/>
        </w:rPr>
        <w:t>5. 用户确认范围并点击“开始同步”后，自动启用该范围的同步，避免再次跳到设置页寻找开关。明确同步的是报表数据，开关不控制广告是否投放。</w:t>
      </w:r>
    </w:p>
    <w:p>
      <w:pPr>
        <w:spacing w:after="100"/>
      </w:pPr>
      <w:r>
        <w:rPr>
          <w:b w:val="0"/>
        </w:rPr>
        <w:t>6. 同步中展示真实阶段与更新时间，例如“正在读取广告表现”。没有可靠进度时不展示伪造百分比和倒计时。用户离开页面后任务继续，返回时恢复状态。</w:t>
      </w:r>
    </w:p>
    <w:p>
      <w:pPr>
        <w:spacing w:after="100"/>
      </w:pPr>
      <w:r>
        <w:rPr>
          <w:b w:val="0"/>
        </w:rPr>
        <w:t>7. 首轮完成后区分有数据、真实无记录和部分成功。有数据时提供“查看洞察”；从具体素材入口发起连接的用户返回原上下文。</w:t>
      </w:r>
    </w:p>
    <w:p>
      <w:pPr>
        <w:pStyle w:val="Heading2"/>
      </w:pPr>
      <w:r>
        <w:t>取消与异常恢复</w:t>
      </w:r>
    </w:p>
    <w:p>
      <w:r>
        <w:rPr>
          <w:b w:val="0"/>
        </w:rPr>
        <w:t>用户取消授权后回到原页，保留连接入口，不自动重复弹出。授权成功但未完成账户选择时，提示“继续选择同步账户”。重复点击连接或同步时进入当前流程状态，不反复创建同一接入任务。</w:t>
      </w:r>
    </w:p>
    <w:p>
      <w:r>
        <w:rPr>
          <w:b w:val="0"/>
        </w:rPr>
        <w:t>授权返回后没有可选账户时，明确提示“当前登录身份下没有可接入的广告账户”，提供切换平台身份或查看权限说明的入口；不能把空账户列表当成同步中。弹窗未能打开时提供重新打开授权页的操作，并保留当前流程。</w:t>
      </w:r>
    </w:p>
    <w:p>
      <w:pPr>
        <w:pStyle w:val="Heading2"/>
      </w:pPr>
      <w:r>
        <w:t>无账户管理权限的设计师</w:t>
      </w:r>
    </w:p>
    <w:p>
      <w:r>
        <w:rPr>
          <w:b w:val="0"/>
        </w:rPr>
        <w:t>工作空间中已有数据且设计师具备查看权限时，不要求其个人重新授权。缺少工作空间接入时提供“复制连接说明”供其联系管理员；产品不得替用户自动发送消息。有素材预览权限但无经营指标权限时，按现有角色规则展示对应内容，不用“无数据”掩盖无权限。</w:t>
      </w:r>
    </w:p>
    <w:p>
      <w:pPr>
        <w:pStyle w:val="Heading1"/>
        <w:pageBreakBefore/>
      </w:pPr>
      <w:r>
        <w:t>4 空状态规则 账户与同步</w:t>
      </w:r>
    </w:p>
    <w:p>
      <w:r>
        <w:rPr>
          <w:b w:val="0"/>
        </w:rPr>
        <w:t>首先判断当前数据范围的接入状态。仅凭查询结果为空，不能推断用户没有授权。全局缺失采用页面级引导，单账户异常采用局部提示，不遮挡其他正常账户。</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状态与识别条件</w:t>
            </w:r>
          </w:p>
        </w:tc>
        <w:tc>
          <w:tcPr>
            <w:tcW w:type="dxa" w:w="3816"/>
            <w:vAlign w:val="center"/>
            <w:shd w:fill="E9EFF2"/>
            <w:tcMar>
              <w:top w:w="85" w:type="dxa"/>
              <w:bottom w:w="85" w:type="dxa"/>
              <w:left w:w="95" w:type="dxa"/>
              <w:right w:w="95" w:type="dxa"/>
            </w:tcMar>
          </w:tcPr>
          <w:p>
            <w:pPr>
              <w:spacing w:after="0" w:line="280" w:lineRule="exact"/>
            </w:pPr>
            <w:r>
              <w:rPr>
                <w:b/>
                <w:sz w:val="20"/>
              </w:rPr>
              <w:t>建议主文案</w:t>
            </w:r>
          </w:p>
        </w:tc>
        <w:tc>
          <w:tcPr>
            <w:tcW w:type="dxa" w:w="4090"/>
            <w:vAlign w:val="center"/>
            <w:shd w:fill="E9EFF2"/>
            <w:tcMar>
              <w:top w:w="85" w:type="dxa"/>
              <w:bottom w:w="85" w:type="dxa"/>
              <w:left w:w="95" w:type="dxa"/>
              <w:right w:w="95" w:type="dxa"/>
            </w:tcMar>
          </w:tcPr>
          <w:p>
            <w:pPr>
              <w:spacing w:after="0" w:line="280" w:lineRule="exact"/>
            </w:pPr>
            <w:r>
              <w:rPr>
                <w:b/>
                <w:sz w:val="20"/>
              </w:rPr>
              <w:t>主操作与后续行为</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ST01 未连接任何可用账户</w:t>
            </w:r>
          </w:p>
        </w:tc>
        <w:tc>
          <w:tcPr>
            <w:tcW w:type="dxa" w:w="3816"/>
            <w:vAlign w:val="center"/>
            <w:shd w:fill="FFFFFF"/>
            <w:tcMar>
              <w:top w:w="85" w:type="dxa"/>
              <w:bottom w:w="85" w:type="dxa"/>
              <w:left w:w="95" w:type="dxa"/>
              <w:right w:w="95" w:type="dxa"/>
            </w:tcMar>
          </w:tcPr>
          <w:p>
            <w:pPr>
              <w:spacing w:after="0" w:line="280" w:lineRule="exact"/>
            </w:pPr>
            <w:r>
              <w:rPr>
                <w:b w:val="0"/>
                <w:sz w:val="20"/>
              </w:rPr>
              <w:t>连接 TikTok 广告账户，开始查看素材表现。</w:t>
            </w:r>
          </w:p>
        </w:tc>
        <w:tc>
          <w:tcPr>
            <w:tcW w:type="dxa" w:w="4090"/>
            <w:vAlign w:val="center"/>
            <w:shd w:fill="FFFFFF"/>
            <w:tcMar>
              <w:top w:w="85" w:type="dxa"/>
              <w:bottom w:w="85" w:type="dxa"/>
              <w:left w:w="95" w:type="dxa"/>
              <w:right w:w="95" w:type="dxa"/>
            </w:tcMar>
          </w:tcPr>
          <w:p>
            <w:pPr>
              <w:spacing w:after="0" w:line="280" w:lineRule="exact"/>
            </w:pPr>
            <w:r>
              <w:rPr>
                <w:b w:val="0"/>
                <w:sz w:val="20"/>
              </w:rPr>
              <w:t>连接 TikTok 广告账户；隐藏空图表和诊断标签。</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ST02 已授权但未选择账户</w:t>
            </w:r>
          </w:p>
        </w:tc>
        <w:tc>
          <w:tcPr>
            <w:tcW w:type="dxa" w:w="3816"/>
            <w:vAlign w:val="center"/>
            <w:shd w:fill="F7F9FA"/>
            <w:tcMar>
              <w:top w:w="85" w:type="dxa"/>
              <w:bottom w:w="85" w:type="dxa"/>
              <w:left w:w="95" w:type="dxa"/>
              <w:right w:w="95" w:type="dxa"/>
            </w:tcMar>
          </w:tcPr>
          <w:p>
            <w:pPr>
              <w:spacing w:after="0" w:line="280" w:lineRule="exact"/>
            </w:pPr>
            <w:r>
              <w:rPr>
                <w:b w:val="0"/>
                <w:sz w:val="20"/>
              </w:rPr>
              <w:t>已完成平台授权，请选择需要同步的广告账户。</w:t>
            </w:r>
          </w:p>
        </w:tc>
        <w:tc>
          <w:tcPr>
            <w:tcW w:type="dxa" w:w="4090"/>
            <w:vAlign w:val="center"/>
            <w:shd w:fill="F7F9FA"/>
            <w:tcMar>
              <w:top w:w="85" w:type="dxa"/>
              <w:bottom w:w="85" w:type="dxa"/>
              <w:left w:w="95" w:type="dxa"/>
              <w:right w:w="95" w:type="dxa"/>
            </w:tcMar>
          </w:tcPr>
          <w:p>
            <w:pPr>
              <w:spacing w:after="0" w:line="280" w:lineRule="exact"/>
            </w:pPr>
            <w:r>
              <w:rPr>
                <w:b w:val="0"/>
                <w:sz w:val="20"/>
              </w:rPr>
              <w:t>选择账户；返回未完成的接入步骤。</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ST03 账户已连接但同步未启用</w:t>
            </w:r>
          </w:p>
        </w:tc>
        <w:tc>
          <w:tcPr>
            <w:tcW w:type="dxa" w:w="3816"/>
            <w:vAlign w:val="center"/>
            <w:shd w:fill="FFFFFF"/>
            <w:tcMar>
              <w:top w:w="85" w:type="dxa"/>
              <w:bottom w:w="85" w:type="dxa"/>
              <w:left w:w="95" w:type="dxa"/>
              <w:right w:w="95" w:type="dxa"/>
            </w:tcMar>
          </w:tcPr>
          <w:p>
            <w:pPr>
              <w:spacing w:after="0" w:line="280" w:lineRule="exact"/>
            </w:pPr>
            <w:r>
              <w:rPr>
                <w:b w:val="0"/>
                <w:sz w:val="20"/>
              </w:rPr>
              <w:t>账户已连接，尚未开启数据同步。</w:t>
            </w:r>
          </w:p>
        </w:tc>
        <w:tc>
          <w:tcPr>
            <w:tcW w:type="dxa" w:w="4090"/>
            <w:vAlign w:val="center"/>
            <w:shd w:fill="FFFFFF"/>
            <w:tcMar>
              <w:top w:w="85" w:type="dxa"/>
              <w:bottom w:w="85" w:type="dxa"/>
              <w:left w:w="95" w:type="dxa"/>
              <w:right w:w="95" w:type="dxa"/>
            </w:tcMar>
          </w:tcPr>
          <w:p>
            <w:pPr>
              <w:spacing w:after="0" w:line="280" w:lineRule="exact"/>
            </w:pPr>
            <w:r>
              <w:rPr>
                <w:b w:val="0"/>
                <w:sz w:val="20"/>
              </w:rPr>
              <w:t>开启同步；展示账户范围后开始。</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ST04 首次同步中</w:t>
            </w:r>
          </w:p>
        </w:tc>
        <w:tc>
          <w:tcPr>
            <w:tcW w:type="dxa" w:w="3816"/>
            <w:vAlign w:val="center"/>
            <w:shd w:fill="F7F9FA"/>
            <w:tcMar>
              <w:top w:w="85" w:type="dxa"/>
              <w:bottom w:w="85" w:type="dxa"/>
              <w:left w:w="95" w:type="dxa"/>
              <w:right w:w="95" w:type="dxa"/>
            </w:tcMar>
          </w:tcPr>
          <w:p>
            <w:pPr>
              <w:spacing w:after="0" w:line="280" w:lineRule="exact"/>
            </w:pPr>
            <w:r>
              <w:rPr>
                <w:b w:val="0"/>
                <w:sz w:val="20"/>
              </w:rPr>
              <w:t>正在同步投放数据，完成后即可查看洞察。</w:t>
            </w:r>
          </w:p>
        </w:tc>
        <w:tc>
          <w:tcPr>
            <w:tcW w:type="dxa" w:w="4090"/>
            <w:vAlign w:val="center"/>
            <w:shd w:fill="F7F9FA"/>
            <w:tcMar>
              <w:top w:w="85" w:type="dxa"/>
              <w:bottom w:w="85" w:type="dxa"/>
              <w:left w:w="95" w:type="dxa"/>
              <w:right w:w="95" w:type="dxa"/>
            </w:tcMar>
          </w:tcPr>
          <w:p>
            <w:pPr>
              <w:spacing w:after="0" w:line="280" w:lineRule="exact"/>
            </w:pPr>
            <w:r>
              <w:rPr>
                <w:b w:val="0"/>
                <w:sz w:val="20"/>
              </w:rPr>
              <w:t>查看同步进度；允许离开后继续。</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ST05 同步失败且没有历史数据</w:t>
            </w:r>
          </w:p>
        </w:tc>
        <w:tc>
          <w:tcPr>
            <w:tcW w:type="dxa" w:w="3816"/>
            <w:vAlign w:val="center"/>
            <w:shd w:fill="FFFFFF"/>
            <w:tcMar>
              <w:top w:w="85" w:type="dxa"/>
              <w:bottom w:w="85" w:type="dxa"/>
              <w:left w:w="95" w:type="dxa"/>
              <w:right w:w="95" w:type="dxa"/>
            </w:tcMar>
          </w:tcPr>
          <w:p>
            <w:pPr>
              <w:spacing w:after="0" w:line="280" w:lineRule="exact"/>
            </w:pPr>
            <w:r>
              <w:rPr>
                <w:b w:val="0"/>
                <w:sz w:val="20"/>
              </w:rPr>
              <w:t>本次同步未完成，暂时无法展示洞察。</w:t>
            </w:r>
          </w:p>
        </w:tc>
        <w:tc>
          <w:tcPr>
            <w:tcW w:type="dxa" w:w="4090"/>
            <w:vAlign w:val="center"/>
            <w:shd w:fill="FFFFFF"/>
            <w:tcMar>
              <w:top w:w="85" w:type="dxa"/>
              <w:bottom w:w="85" w:type="dxa"/>
              <w:left w:w="95" w:type="dxa"/>
              <w:right w:w="95" w:type="dxa"/>
            </w:tcMar>
          </w:tcPr>
          <w:p>
            <w:pPr>
              <w:spacing w:after="0" w:line="280" w:lineRule="exact"/>
            </w:pPr>
            <w:r>
              <w:rPr>
                <w:b w:val="0"/>
                <w:sz w:val="20"/>
              </w:rPr>
              <w:t>重试同步；展示可理解的失败原因。</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ST06 同步失败但有历史数据</w:t>
            </w:r>
          </w:p>
        </w:tc>
        <w:tc>
          <w:tcPr>
            <w:tcW w:type="dxa" w:w="3816"/>
            <w:vAlign w:val="center"/>
            <w:shd w:fill="F7F9FA"/>
            <w:tcMar>
              <w:top w:w="85" w:type="dxa"/>
              <w:bottom w:w="85" w:type="dxa"/>
              <w:left w:w="95" w:type="dxa"/>
              <w:right w:w="95" w:type="dxa"/>
            </w:tcMar>
          </w:tcPr>
          <w:p>
            <w:pPr>
              <w:spacing w:after="0" w:line="280" w:lineRule="exact"/>
            </w:pPr>
            <w:r>
              <w:rPr>
                <w:b w:val="0"/>
                <w:sz w:val="20"/>
              </w:rPr>
              <w:t>本次更新失败，当前展示截至某时的数据。</w:t>
            </w:r>
          </w:p>
        </w:tc>
        <w:tc>
          <w:tcPr>
            <w:tcW w:type="dxa" w:w="4090"/>
            <w:vAlign w:val="center"/>
            <w:shd w:fill="F7F9FA"/>
            <w:tcMar>
              <w:top w:w="85" w:type="dxa"/>
              <w:bottom w:w="85" w:type="dxa"/>
              <w:left w:w="95" w:type="dxa"/>
              <w:right w:w="95" w:type="dxa"/>
            </w:tcMar>
          </w:tcPr>
          <w:p>
            <w:pPr>
              <w:spacing w:after="0" w:line="280" w:lineRule="exact"/>
            </w:pPr>
            <w:r>
              <w:rPr>
                <w:b w:val="0"/>
                <w:sz w:val="20"/>
              </w:rPr>
              <w:t>重试同步；保留历史数据并标明时效。</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ST07 授权失效或被撤销</w:t>
            </w:r>
          </w:p>
        </w:tc>
        <w:tc>
          <w:tcPr>
            <w:tcW w:type="dxa" w:w="3816"/>
            <w:vAlign w:val="center"/>
            <w:shd w:fill="FFFFFF"/>
            <w:tcMar>
              <w:top w:w="85" w:type="dxa"/>
              <w:bottom w:w="85" w:type="dxa"/>
              <w:left w:w="95" w:type="dxa"/>
              <w:right w:w="95" w:type="dxa"/>
            </w:tcMar>
          </w:tcPr>
          <w:p>
            <w:pPr>
              <w:spacing w:after="0" w:line="280" w:lineRule="exact"/>
            </w:pPr>
            <w:r>
              <w:rPr>
                <w:b w:val="0"/>
                <w:sz w:val="20"/>
              </w:rPr>
              <w:t>此账户连接已失效，请重新连接后更新数据。</w:t>
            </w:r>
          </w:p>
        </w:tc>
        <w:tc>
          <w:tcPr>
            <w:tcW w:type="dxa" w:w="4090"/>
            <w:vAlign w:val="center"/>
            <w:shd w:fill="FFFFFF"/>
            <w:tcMar>
              <w:top w:w="85" w:type="dxa"/>
              <w:bottom w:w="85" w:type="dxa"/>
              <w:left w:w="95" w:type="dxa"/>
              <w:right w:w="95" w:type="dxa"/>
            </w:tcMar>
          </w:tcPr>
          <w:p>
            <w:pPr>
              <w:spacing w:after="0" w:line="280" w:lineRule="exact"/>
            </w:pPr>
            <w:r>
              <w:rPr>
                <w:b w:val="0"/>
                <w:sz w:val="20"/>
              </w:rPr>
              <w:t>重新连接；保留原账户和返回位置。</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ST08 权限或关联范围不足</w:t>
            </w:r>
          </w:p>
        </w:tc>
        <w:tc>
          <w:tcPr>
            <w:tcW w:type="dxa" w:w="3816"/>
            <w:vAlign w:val="center"/>
            <w:shd w:fill="F7F9FA"/>
            <w:tcMar>
              <w:top w:w="85" w:type="dxa"/>
              <w:bottom w:w="85" w:type="dxa"/>
              <w:left w:w="95" w:type="dxa"/>
              <w:right w:w="95" w:type="dxa"/>
            </w:tcMar>
          </w:tcPr>
          <w:p>
            <w:pPr>
              <w:spacing w:after="0" w:line="280" w:lineRule="exact"/>
            </w:pPr>
            <w:r>
              <w:rPr>
                <w:b w:val="0"/>
                <w:sz w:val="20"/>
              </w:rPr>
              <w:t>已连接账户，当前缺少所选报表的访问权限。</w:t>
            </w:r>
          </w:p>
        </w:tc>
        <w:tc>
          <w:tcPr>
            <w:tcW w:type="dxa" w:w="4090"/>
            <w:vAlign w:val="center"/>
            <w:shd w:fill="F7F9FA"/>
            <w:tcMar>
              <w:top w:w="85" w:type="dxa"/>
              <w:bottom w:w="85" w:type="dxa"/>
              <w:left w:w="95" w:type="dxa"/>
              <w:right w:w="95" w:type="dxa"/>
            </w:tcMar>
          </w:tcPr>
          <w:p>
            <w:pPr>
              <w:spacing w:after="0" w:line="280" w:lineRule="exact"/>
            </w:pPr>
            <w:r>
              <w:rPr>
                <w:b w:val="0"/>
                <w:sz w:val="20"/>
              </w:rPr>
              <w:t>补充授权或检查账户关联；不要求无差别重做全部授权。</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ST09 当前用户无接入管理权限</w:t>
            </w:r>
          </w:p>
        </w:tc>
        <w:tc>
          <w:tcPr>
            <w:tcW w:type="dxa" w:w="3816"/>
            <w:vAlign w:val="center"/>
            <w:shd w:fill="FFFFFF"/>
            <w:tcMar>
              <w:top w:w="85" w:type="dxa"/>
              <w:bottom w:w="85" w:type="dxa"/>
              <w:left w:w="95" w:type="dxa"/>
              <w:right w:w="95" w:type="dxa"/>
            </w:tcMar>
          </w:tcPr>
          <w:p>
            <w:pPr>
              <w:spacing w:after="0" w:line="280" w:lineRule="exact"/>
            </w:pPr>
            <w:r>
              <w:rPr>
                <w:b w:val="0"/>
                <w:sz w:val="20"/>
              </w:rPr>
              <w:t>需要工作空间管理员连接广告账户。</w:t>
            </w:r>
          </w:p>
        </w:tc>
        <w:tc>
          <w:tcPr>
            <w:tcW w:type="dxa" w:w="4090"/>
            <w:vAlign w:val="center"/>
            <w:shd w:fill="FFFFFF"/>
            <w:tcMar>
              <w:top w:w="85" w:type="dxa"/>
              <w:bottom w:w="85" w:type="dxa"/>
              <w:left w:w="95" w:type="dxa"/>
              <w:right w:w="95" w:type="dxa"/>
            </w:tcMar>
          </w:tcPr>
          <w:p>
            <w:pPr>
              <w:spacing w:after="0" w:line="280" w:lineRule="exact"/>
            </w:pPr>
            <w:r>
              <w:rPr>
                <w:b w:val="0"/>
                <w:sz w:val="20"/>
              </w:rPr>
              <w:t>复制连接说明；已有可读数据继续展示。</w:t>
            </w:r>
          </w:p>
        </w:tc>
      </w:tr>
    </w:tbl>
    <w:p>
      <w:pPr>
        <w:spacing w:after="20" w:before="0" w:line="240" w:lineRule="auto"/>
      </w:pPr>
      <w:r>
        <w:rPr>
          <w:sz w:val="4"/>
        </w:rPr>
      </w:r>
    </w:p>
    <w:p>
      <w:pPr>
        <w:pStyle w:val="Heading2"/>
      </w:pPr>
      <w:r>
        <w:t>状态表达约束</w:t>
      </w:r>
    </w:p>
    <w:p>
      <w:r>
        <w:rPr>
          <w:b w:val="0"/>
        </w:rPr>
        <w:t>连接、同步和分析就绪是三个独立状态。授权成功可以触发“已连接”提示，但不能立即显示“数据同步完成”。同步开关关闭后应显示“同步已暂停”，并告知历史数据的保留与时效规则。</w:t>
      </w:r>
    </w:p>
    <w:p>
      <w:r>
        <w:rPr>
          <w:b w:val="0"/>
        </w:rPr>
        <w:t>未获得有效数据时不显示疲劳0分、健康、风险花费0、预计提升、优质素材或素材供给不足。按钮应与问题对应，账户未连接时不能优先建议修改日期，筛选无结果时不能优先建议重新授权。</w:t>
      </w:r>
    </w:p>
    <w:p>
      <w:pPr>
        <w:pStyle w:val="Heading1"/>
        <w:pageBreakBefore/>
      </w:pPr>
      <w:r>
        <w:t>5 空状态规则 范围与证据</w:t>
      </w:r>
    </w:p>
    <w:p>
      <w:r>
        <w:rPr>
          <w:b w:val="0"/>
        </w:rPr>
        <w:t>当连接有效、同步完成后，再判断当前范围、数据覆盖及诊断样本。真实无记录、没有业务活动和某个字段缺失要分开处理。</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状态与识别条件</w:t>
            </w:r>
          </w:p>
        </w:tc>
        <w:tc>
          <w:tcPr>
            <w:tcW w:type="dxa" w:w="3816"/>
            <w:vAlign w:val="center"/>
            <w:shd w:fill="E9EFF2"/>
            <w:tcMar>
              <w:top w:w="85" w:type="dxa"/>
              <w:bottom w:w="85" w:type="dxa"/>
              <w:left w:w="95" w:type="dxa"/>
              <w:right w:w="95" w:type="dxa"/>
            </w:tcMar>
          </w:tcPr>
          <w:p>
            <w:pPr>
              <w:spacing w:after="0" w:line="280" w:lineRule="exact"/>
            </w:pPr>
            <w:r>
              <w:rPr>
                <w:b/>
                <w:sz w:val="20"/>
              </w:rPr>
              <w:t>建议主文案</w:t>
            </w:r>
          </w:p>
        </w:tc>
        <w:tc>
          <w:tcPr>
            <w:tcW w:type="dxa" w:w="4090"/>
            <w:vAlign w:val="center"/>
            <w:shd w:fill="E9EFF2"/>
            <w:tcMar>
              <w:top w:w="85" w:type="dxa"/>
              <w:bottom w:w="85" w:type="dxa"/>
              <w:left w:w="95" w:type="dxa"/>
              <w:right w:w="95" w:type="dxa"/>
            </w:tcMar>
          </w:tcPr>
          <w:p>
            <w:pPr>
              <w:spacing w:after="0" w:line="280" w:lineRule="exact"/>
            </w:pPr>
            <w:r>
              <w:rPr>
                <w:b/>
                <w:sz w:val="20"/>
              </w:rPr>
              <w:t>主操作与展示规则</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ST10 当前日期无投放记录</w:t>
            </w:r>
          </w:p>
        </w:tc>
        <w:tc>
          <w:tcPr>
            <w:tcW w:type="dxa" w:w="3816"/>
            <w:vAlign w:val="center"/>
            <w:shd w:fill="FFFFFF"/>
            <w:tcMar>
              <w:top w:w="85" w:type="dxa"/>
              <w:bottom w:w="85" w:type="dxa"/>
              <w:left w:w="95" w:type="dxa"/>
              <w:right w:w="95" w:type="dxa"/>
            </w:tcMar>
          </w:tcPr>
          <w:p>
            <w:pPr>
              <w:spacing w:after="0" w:line="280" w:lineRule="exact"/>
            </w:pPr>
            <w:r>
              <w:rPr>
                <w:b w:val="0"/>
                <w:sz w:val="20"/>
              </w:rPr>
              <w:t>当前日期范围内未发现投放记录。</w:t>
            </w:r>
          </w:p>
        </w:tc>
        <w:tc>
          <w:tcPr>
            <w:tcW w:type="dxa" w:w="4090"/>
            <w:vAlign w:val="center"/>
            <w:shd w:fill="FFFFFF"/>
            <w:tcMar>
              <w:top w:w="85" w:type="dxa"/>
              <w:bottom w:w="85" w:type="dxa"/>
              <w:left w:w="95" w:type="dxa"/>
              <w:right w:w="95" w:type="dxa"/>
            </w:tcMar>
          </w:tcPr>
          <w:p>
            <w:pPr>
              <w:spacing w:after="0" w:line="280" w:lineRule="exact"/>
            </w:pPr>
            <w:r>
              <w:rPr>
                <w:b w:val="0"/>
                <w:sz w:val="20"/>
              </w:rPr>
              <w:t>调整日期；若已知最近有数据日期，提供直接查看入口。</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ST11 局部筛选无结果</w:t>
            </w:r>
          </w:p>
        </w:tc>
        <w:tc>
          <w:tcPr>
            <w:tcW w:type="dxa" w:w="3816"/>
            <w:vAlign w:val="center"/>
            <w:shd w:fill="F7F9FA"/>
            <w:tcMar>
              <w:top w:w="85" w:type="dxa"/>
              <w:bottom w:w="85" w:type="dxa"/>
              <w:left w:w="95" w:type="dxa"/>
              <w:right w:w="95" w:type="dxa"/>
            </w:tcMar>
          </w:tcPr>
          <w:p>
            <w:pPr>
              <w:spacing w:after="0" w:line="280" w:lineRule="exact"/>
            </w:pPr>
            <w:r>
              <w:rPr>
                <w:b w:val="0"/>
                <w:sz w:val="20"/>
              </w:rPr>
              <w:t>当前筛选下没有匹配的素材。</w:t>
            </w:r>
          </w:p>
        </w:tc>
        <w:tc>
          <w:tcPr>
            <w:tcW w:type="dxa" w:w="4090"/>
            <w:vAlign w:val="center"/>
            <w:shd w:fill="F7F9FA"/>
            <w:tcMar>
              <w:top w:w="85" w:type="dxa"/>
              <w:bottom w:w="85" w:type="dxa"/>
              <w:left w:w="95" w:type="dxa"/>
              <w:right w:w="95" w:type="dxa"/>
            </w:tcMar>
          </w:tcPr>
          <w:p>
            <w:pPr>
              <w:spacing w:after="0" w:line="280" w:lineRule="exact"/>
            </w:pPr>
            <w:r>
              <w:rPr>
                <w:b w:val="0"/>
                <w:sz w:val="20"/>
              </w:rPr>
              <w:t>清除筛选；只清除局部条件，不改变账户或店铺。</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ST12 当前模式无数据</w:t>
            </w:r>
          </w:p>
        </w:tc>
        <w:tc>
          <w:tcPr>
            <w:tcW w:type="dxa" w:w="3816"/>
            <w:vAlign w:val="center"/>
            <w:shd w:fill="FFFFFF"/>
            <w:tcMar>
              <w:top w:w="85" w:type="dxa"/>
              <w:bottom w:w="85" w:type="dxa"/>
              <w:left w:w="95" w:type="dxa"/>
              <w:right w:w="95" w:type="dxa"/>
            </w:tcMar>
          </w:tcPr>
          <w:p>
            <w:pPr>
              <w:spacing w:after="0" w:line="280" w:lineRule="exact"/>
            </w:pPr>
            <w:r>
              <w:rPr>
                <w:b w:val="0"/>
                <w:sz w:val="20"/>
              </w:rPr>
              <w:t>当前范围暂无 GMV Max 数据。</w:t>
            </w:r>
          </w:p>
        </w:tc>
        <w:tc>
          <w:tcPr>
            <w:tcW w:type="dxa" w:w="4090"/>
            <w:vAlign w:val="center"/>
            <w:shd w:fill="FFFFFF"/>
            <w:tcMar>
              <w:top w:w="85" w:type="dxa"/>
              <w:bottom w:w="85" w:type="dxa"/>
              <w:left w:w="95" w:type="dxa"/>
              <w:right w:w="95" w:type="dxa"/>
            </w:tcMar>
          </w:tcPr>
          <w:p>
            <w:pPr>
              <w:spacing w:after="0" w:line="280" w:lineRule="exact"/>
            </w:pPr>
            <w:r>
              <w:rPr>
                <w:b w:val="0"/>
                <w:sz w:val="20"/>
              </w:rPr>
              <w:t>若另一模式确有数据，提供切换入口；不自动混用报表。</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ST13 同步完整但没有素材</w:t>
            </w:r>
          </w:p>
        </w:tc>
        <w:tc>
          <w:tcPr>
            <w:tcW w:type="dxa" w:w="3816"/>
            <w:vAlign w:val="center"/>
            <w:shd w:fill="F7F9FA"/>
            <w:tcMar>
              <w:top w:w="85" w:type="dxa"/>
              <w:bottom w:w="85" w:type="dxa"/>
              <w:left w:w="95" w:type="dxa"/>
              <w:right w:w="95" w:type="dxa"/>
            </w:tcMar>
          </w:tcPr>
          <w:p>
            <w:pPr>
              <w:spacing w:after="0" w:line="280" w:lineRule="exact"/>
            </w:pPr>
            <w:r>
              <w:rPr>
                <w:b w:val="0"/>
                <w:sz w:val="20"/>
              </w:rPr>
              <w:t>当前已接入范围内尚无可分析素材。</w:t>
            </w:r>
          </w:p>
        </w:tc>
        <w:tc>
          <w:tcPr>
            <w:tcW w:type="dxa" w:w="4090"/>
            <w:vAlign w:val="center"/>
            <w:shd w:fill="F7F9FA"/>
            <w:tcMar>
              <w:top w:w="85" w:type="dxa"/>
              <w:bottom w:w="85" w:type="dxa"/>
              <w:left w:w="95" w:type="dxa"/>
              <w:right w:w="95" w:type="dxa"/>
            </w:tcMar>
          </w:tcPr>
          <w:p>
            <w:pPr>
              <w:spacing w:after="0" w:line="280" w:lineRule="exact"/>
            </w:pPr>
            <w:r>
              <w:rPr>
                <w:b w:val="0"/>
                <w:sz w:val="20"/>
              </w:rPr>
              <w:t>查看接入范围；确认真实缺口后再引导补充素材。</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ST14 有数据但样本不足</w:t>
            </w:r>
          </w:p>
        </w:tc>
        <w:tc>
          <w:tcPr>
            <w:tcW w:type="dxa" w:w="3816"/>
            <w:vAlign w:val="center"/>
            <w:shd w:fill="FFFFFF"/>
            <w:tcMar>
              <w:top w:w="85" w:type="dxa"/>
              <w:bottom w:w="85" w:type="dxa"/>
              <w:left w:w="95" w:type="dxa"/>
              <w:right w:w="95" w:type="dxa"/>
            </w:tcMar>
          </w:tcPr>
          <w:p>
            <w:pPr>
              <w:spacing w:after="0" w:line="280" w:lineRule="exact"/>
            </w:pPr>
            <w:r>
              <w:rPr>
                <w:b w:val="0"/>
                <w:sz w:val="20"/>
              </w:rPr>
              <w:t>已同步素材，当前证据不足以判断表现。</w:t>
            </w:r>
          </w:p>
        </w:tc>
        <w:tc>
          <w:tcPr>
            <w:tcW w:type="dxa" w:w="4090"/>
            <w:vAlign w:val="center"/>
            <w:shd w:fill="FFFFFF"/>
            <w:tcMar>
              <w:top w:w="85" w:type="dxa"/>
              <w:bottom w:w="85" w:type="dxa"/>
              <w:left w:w="95" w:type="dxa"/>
              <w:right w:w="95" w:type="dxa"/>
            </w:tcMar>
          </w:tcPr>
          <w:p>
            <w:pPr>
              <w:spacing w:after="0" w:line="280" w:lineRule="exact"/>
            </w:pPr>
            <w:r>
              <w:rPr>
                <w:b w:val="0"/>
                <w:sz w:val="20"/>
              </w:rPr>
              <w:t>查看已有数据；说明观察原因和复核条件。</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ST15 个别指标不可用</w:t>
            </w:r>
          </w:p>
        </w:tc>
        <w:tc>
          <w:tcPr>
            <w:tcW w:type="dxa" w:w="3816"/>
            <w:vAlign w:val="center"/>
            <w:shd w:fill="F7F9FA"/>
            <w:tcMar>
              <w:top w:w="85" w:type="dxa"/>
              <w:bottom w:w="85" w:type="dxa"/>
              <w:left w:w="95" w:type="dxa"/>
              <w:right w:w="95" w:type="dxa"/>
            </w:tcMar>
          </w:tcPr>
          <w:p>
            <w:pPr>
              <w:spacing w:after="0" w:line="280" w:lineRule="exact"/>
            </w:pPr>
            <w:r>
              <w:rPr>
                <w:b w:val="0"/>
                <w:sz w:val="20"/>
              </w:rPr>
              <w:t>该指标暂未提供，其他数据可正常查看。</w:t>
            </w:r>
          </w:p>
        </w:tc>
        <w:tc>
          <w:tcPr>
            <w:tcW w:type="dxa" w:w="4090"/>
            <w:vAlign w:val="center"/>
            <w:shd w:fill="F7F9FA"/>
            <w:tcMar>
              <w:top w:w="85" w:type="dxa"/>
              <w:bottom w:w="85" w:type="dxa"/>
              <w:left w:w="95" w:type="dxa"/>
              <w:right w:w="95" w:type="dxa"/>
            </w:tcMar>
          </w:tcPr>
          <w:p>
            <w:pPr>
              <w:spacing w:after="0" w:line="280" w:lineRule="exact"/>
            </w:pPr>
            <w:r>
              <w:rPr>
                <w:b w:val="0"/>
                <w:sz w:val="20"/>
              </w:rPr>
              <w:t>查看口径说明；该字段显示未提供，不填0。</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ST16 数据有效且未发现异常</w:t>
            </w:r>
          </w:p>
        </w:tc>
        <w:tc>
          <w:tcPr>
            <w:tcW w:type="dxa" w:w="3816"/>
            <w:vAlign w:val="center"/>
            <w:shd w:fill="FFFFFF"/>
            <w:tcMar>
              <w:top w:w="85" w:type="dxa"/>
              <w:bottom w:w="85" w:type="dxa"/>
              <w:left w:w="95" w:type="dxa"/>
              <w:right w:w="95" w:type="dxa"/>
            </w:tcMar>
          </w:tcPr>
          <w:p>
            <w:pPr>
              <w:spacing w:after="0" w:line="280" w:lineRule="exact"/>
            </w:pPr>
            <w:r>
              <w:rPr>
                <w:b w:val="0"/>
                <w:sz w:val="20"/>
              </w:rPr>
              <w:t>当前未发现需要处理的素材问题。</w:t>
            </w:r>
          </w:p>
        </w:tc>
        <w:tc>
          <w:tcPr>
            <w:tcW w:type="dxa" w:w="4090"/>
            <w:vAlign w:val="center"/>
            <w:shd w:fill="FFFFFF"/>
            <w:tcMar>
              <w:top w:w="85" w:type="dxa"/>
              <w:bottom w:w="85" w:type="dxa"/>
              <w:left w:w="95" w:type="dxa"/>
              <w:right w:w="95" w:type="dxa"/>
            </w:tcMar>
          </w:tcPr>
          <w:p>
            <w:pPr>
              <w:spacing w:after="0" w:line="280" w:lineRule="exact"/>
            </w:pPr>
            <w:r>
              <w:rPr>
                <w:b w:val="0"/>
                <w:sz w:val="20"/>
              </w:rPr>
              <w:t>查看全部素材；展示检查范围和检查时间。</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ST17 部分账户同步成功</w:t>
            </w:r>
          </w:p>
        </w:tc>
        <w:tc>
          <w:tcPr>
            <w:tcW w:type="dxa" w:w="3816"/>
            <w:vAlign w:val="center"/>
            <w:shd w:fill="F7F9FA"/>
            <w:tcMar>
              <w:top w:w="85" w:type="dxa"/>
              <w:bottom w:w="85" w:type="dxa"/>
              <w:left w:w="95" w:type="dxa"/>
              <w:right w:w="95" w:type="dxa"/>
            </w:tcMar>
          </w:tcPr>
          <w:p>
            <w:pPr>
              <w:spacing w:after="0" w:line="280" w:lineRule="exact"/>
            </w:pPr>
            <w:r>
              <w:rPr>
                <w:b w:val="0"/>
                <w:sz w:val="20"/>
              </w:rPr>
              <w:t>已更新部分账户，另有账户需要处理。</w:t>
            </w:r>
          </w:p>
        </w:tc>
        <w:tc>
          <w:tcPr>
            <w:tcW w:type="dxa" w:w="4090"/>
            <w:vAlign w:val="center"/>
            <w:shd w:fill="F7F9FA"/>
            <w:tcMar>
              <w:top w:w="85" w:type="dxa"/>
              <w:bottom w:w="85" w:type="dxa"/>
              <w:left w:w="95" w:type="dxa"/>
              <w:right w:w="95" w:type="dxa"/>
            </w:tcMar>
          </w:tcPr>
          <w:p>
            <w:pPr>
              <w:spacing w:after="0" w:line="280" w:lineRule="exact"/>
            </w:pPr>
            <w:r>
              <w:rPr>
                <w:b w:val="0"/>
                <w:sz w:val="20"/>
              </w:rPr>
              <w:t>查看异常账户；总计注明纳入范围，避免误称全部。</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ST18 功能尚未开放</w:t>
            </w:r>
          </w:p>
        </w:tc>
        <w:tc>
          <w:tcPr>
            <w:tcW w:type="dxa" w:w="3816"/>
            <w:vAlign w:val="center"/>
            <w:shd w:fill="FFFFFF"/>
            <w:tcMar>
              <w:top w:w="85" w:type="dxa"/>
              <w:bottom w:w="85" w:type="dxa"/>
              <w:left w:w="95" w:type="dxa"/>
              <w:right w:w="95" w:type="dxa"/>
            </w:tcMar>
          </w:tcPr>
          <w:p>
            <w:pPr>
              <w:spacing w:after="0" w:line="280" w:lineRule="exact"/>
            </w:pPr>
            <w:r>
              <w:rPr>
                <w:b w:val="0"/>
                <w:sz w:val="20"/>
              </w:rPr>
              <w:t>当前功能暂未开放。</w:t>
            </w:r>
          </w:p>
        </w:tc>
        <w:tc>
          <w:tcPr>
            <w:tcW w:type="dxa" w:w="4090"/>
            <w:vAlign w:val="center"/>
            <w:shd w:fill="FFFFFF"/>
            <w:tcMar>
              <w:top w:w="85" w:type="dxa"/>
              <w:bottom w:w="85" w:type="dxa"/>
              <w:left w:w="95" w:type="dxa"/>
              <w:right w:w="95" w:type="dxa"/>
            </w:tcMar>
          </w:tcPr>
          <w:p>
            <w:pPr>
              <w:spacing w:after="0" w:line="280" w:lineRule="exact"/>
            </w:pPr>
            <w:r>
              <w:rPr>
                <w:b w:val="0"/>
                <w:sz w:val="20"/>
              </w:rPr>
              <w:t>从主导航隐藏；旧链接解释状态并引导返回可用页面。</w:t>
            </w:r>
          </w:p>
        </w:tc>
      </w:tr>
    </w:tbl>
    <w:p>
      <w:pPr>
        <w:spacing w:after="20" w:before="0" w:line="240" w:lineRule="auto"/>
      </w:pPr>
      <w:r>
        <w:rPr>
          <w:sz w:val="4"/>
        </w:rPr>
      </w:r>
    </w:p>
    <w:p>
      <w:pPr>
        <w:pStyle w:val="Heading2"/>
      </w:pPr>
      <w:r>
        <w:t>处理优先顺序</w:t>
      </w:r>
    </w:p>
    <w:p>
      <w:r>
        <w:rPr>
          <w:b w:val="0"/>
        </w:rPr>
        <w:t>先判断账户与权限，再判断同步是否完成，随后判断日期和筛选，最后判断是否满足诊断要求。旧数据与局部可用数据采用局部提示。只有同步成功、范围明确且样本足够时，才能显示“未发现异常”。</w:t>
      </w:r>
    </w:p>
    <w:p>
      <w:pPr>
        <w:pStyle w:val="Heading2"/>
      </w:pPr>
      <w:r>
        <w:t>数值规则</w:t>
      </w:r>
    </w:p>
    <w:p>
      <w:r>
        <w:rPr>
          <w:b w:val="0"/>
        </w:rPr>
        <w:t>真实0保留为0；缺失显示“未提供”；尚在处理显示“同步中”；不适用显示“不适用”。订单为0时CPO不能显示0；消耗为0时ROI不能显示0；0/0不能换算为健康或0%疲劳。同期或基准缺失时不计算环比、衰减和相对指数。</w:t>
      </w:r>
    </w:p>
    <w:p>
      <w:pPr>
        <w:pStyle w:val="Heading2"/>
      </w:pPr>
      <w:r>
        <w:t>示例数据规则</w:t>
      </w:r>
    </w:p>
    <w:p>
      <w:r>
        <w:rPr>
          <w:b w:val="0"/>
        </w:rPr>
        <w:t>如后续增加示例报告，必须由用户主动进入，并在所有页面持续标明“示例数据”。示例不混入真实指标、任务或授权完成统计，不允许通过示例结论直接执行投放动作。</w:t>
      </w:r>
    </w:p>
    <w:p>
      <w:pPr>
        <w:pStyle w:val="Heading1"/>
        <w:pageBreakBefore/>
      </w:pPr>
      <w:r>
        <w:t>6 Dashboard与经营总览优化</w:t>
      </w:r>
    </w:p>
    <w:p>
      <w:pPr>
        <w:pStyle w:val="Heading2"/>
      </w:pPr>
      <w:r>
        <w:t>对应页面</w:t>
      </w:r>
    </w:p>
    <w:p>
      <w:r>
        <w:rPr>
          <w:b w:val="0"/>
        </w:rPr>
        <w:t>E01、E04以及D01、D04。目标为合并成一个经营总览，解决第一次接入和每天判断重点商品两类任务。</w:t>
      </w:r>
    </w:p>
    <w:p>
      <w:pPr>
        <w:pStyle w:val="Heading2"/>
      </w:pPr>
      <w:r>
        <w:t>问题与原因</w:t>
      </w:r>
    </w:p>
    <w:p>
      <w:r>
        <w:rPr>
          <w:b w:val="0"/>
        </w:rPr>
        <w:t>空状态保留多块大面积图表和重复的“暂无数据”，还显示“点击上方指标”或“点击左侧标签”，但用户没有可点击内容。有数据时两套KPI与趋势分别存在，数值和含义又不一致。经营问题队列默认铺开大量待观察商品，削弱优先级。</w:t>
      </w:r>
    </w:p>
    <w:p>
      <w:pPr>
        <w:pStyle w:val="Heading2"/>
      </w:pPr>
      <w:r>
        <w:t>空状态调整</w:t>
      </w:r>
    </w:p>
    <w:p>
      <w:r>
        <w:rPr>
          <w:b w:val="0"/>
        </w:rPr>
        <w:t>未接入时以一块完整引导替代全部空报表。内容包含：连接账户能做什么、连接按钮、简短步骤、实际权限说明和账户管理入口。可保留经营总览与素材表现的页签，但切换后仍使用同一接入状态，不产生多套无数据提示。</w:t>
      </w:r>
    </w:p>
    <w:p>
      <w:pPr>
        <w:pStyle w:val="Heading2"/>
      </w:pPr>
      <w:r>
        <w:t>有数据调整</w:t>
      </w:r>
    </w:p>
    <w:p>
      <w:r>
        <w:rPr>
          <w:b w:val="0"/>
        </w:rPr>
        <w:t>顶部为统一范围与最后成功更新时间；随后展示花费、归因成交额、订单、ROI、CPO等与当前模式一致的指标。CTR、CVR和观看指标可按需查看。指标选中态只表示是否加入图表，不使用类似“校验成功”的勾号误导用户。</w:t>
      </w:r>
    </w:p>
    <w:p>
      <w:r>
        <w:rPr>
          <w:b w:val="0"/>
        </w:rPr>
        <w:t>趋势图默认采用实际单位，金额按币种展示；不同单位分图或清楚区分坐标。避免将全0序列归一化为50%。显示完整日期、数据缺口和比较周期，不用平滑曲线制造未观测的变化。</w:t>
      </w:r>
    </w:p>
    <w:p>
      <w:r>
        <w:rPr>
          <w:b w:val="0"/>
        </w:rPr>
        <w:t>“今天先处理什么”默认展示需要用户行动的商品，包含商品名、问题摘要、涉及花费或成交、证据程度和主操作。观察对象独立收纳。没有证据充分的异常时说明结果，不用生成动作数量营造待办。</w:t>
      </w:r>
    </w:p>
    <w:p>
      <w:pPr>
        <w:pStyle w:val="Heading2"/>
      </w:pPr>
      <w:r>
        <w:t>信息下沉</w:t>
      </w:r>
    </w:p>
    <w:p>
      <w:r>
        <w:rPr>
          <w:b w:val="0"/>
        </w:rPr>
        <w:t>标签花费排行、行业分布和Top素材移入创意复盘入口，仅在样本足够时出现。行业基准需说明来源、比较范围和样本；缺少来源时不显示“超过行业”。不以花费排序冒充素材效果排名。</w:t>
      </w:r>
    </w:p>
    <w:p>
      <w:pPr>
        <w:pStyle w:val="Heading2"/>
      </w:pPr>
      <w:r>
        <w:t>验收重点</w:t>
      </w:r>
    </w:p>
    <w:p>
      <w:r>
        <w:rPr>
          <w:b w:val="0"/>
        </w:rPr>
        <w:t>首次未接入时首屏能够开始连接；同一范围下各处花费和订单一致；真实无异常与没有数据有不同展示；从问题商品进入素材列表时自动带入商品与时间范围。</w:t>
      </w:r>
    </w:p>
    <w:p>
      <w:pPr>
        <w:pStyle w:val="Heading1"/>
        <w:pageBreakBefore/>
      </w:pPr>
      <w:r>
        <w:t>7 素材360与素材诊断优化</w:t>
      </w:r>
    </w:p>
    <w:p>
      <w:pPr>
        <w:pStyle w:val="Heading2"/>
      </w:pPr>
      <w:r>
        <w:t>对应页面</w:t>
      </w:r>
    </w:p>
    <w:p>
      <w:r>
        <w:rPr>
          <w:b w:val="0"/>
        </w:rPr>
        <w:t>E02、E05以及D02、D05。目标为合并成素材表现，既能浏览库存，又能判断当前范围内的表现。</w:t>
      </w:r>
    </w:p>
    <w:p>
      <w:pPr>
        <w:pStyle w:val="Heading2"/>
      </w:pPr>
      <w:r>
        <w:t>问题与原因</w:t>
      </w:r>
    </w:p>
    <w:p>
      <w:r>
        <w:rPr>
          <w:b w:val="0"/>
        </w:rPr>
        <w:t>E02已经提示没有启用同步，但只给文字路径；E05在无数据时触发“素材供给0条，低于健康线6条”。有数据时长ID占主视觉，很多行缺封面，结构评分与投放质量混用。历史库存数量、当前供给数量和参与诊断数量之间缺少解释。</w:t>
      </w:r>
    </w:p>
    <w:p>
      <w:pPr>
        <w:pStyle w:val="Heading2"/>
      </w:pPr>
      <w:r>
        <w:t>空状态调整</w:t>
      </w:r>
    </w:p>
    <w:p>
      <w:r>
        <w:rPr>
          <w:b w:val="0"/>
        </w:rPr>
        <w:t>未开启同步时直接提供“开启同步”。只有确认账户、商品范围和素材库存已完整读取后，才能判断供给是否不足。不能把截图中的6条健康线作为所有商品通用标准；若保留阈值，必须说明适用对象、统计范围和规则来源。</w:t>
      </w:r>
    </w:p>
    <w:p>
      <w:r>
        <w:rPr>
          <w:b w:val="0"/>
        </w:rPr>
        <w:t>库存不足与近7天有消耗素材少分别表达。历史库存可以独立查看，但诊断与表现统计始终显示所选日期，避免“全部历史”与近7天口径混淆。</w:t>
      </w:r>
    </w:p>
    <w:p>
      <w:pPr>
        <w:pStyle w:val="Heading2"/>
      </w:pPr>
      <w:r>
        <w:t>列表默认字段</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字段组</w:t>
            </w:r>
          </w:p>
        </w:tc>
        <w:tc>
          <w:tcPr>
            <w:tcW w:type="dxa" w:w="3816"/>
            <w:vAlign w:val="center"/>
            <w:shd w:fill="E9EFF2"/>
            <w:tcMar>
              <w:top w:w="85" w:type="dxa"/>
              <w:bottom w:w="85" w:type="dxa"/>
              <w:left w:w="95" w:type="dxa"/>
              <w:right w:w="95" w:type="dxa"/>
            </w:tcMar>
          </w:tcPr>
          <w:p>
            <w:pPr>
              <w:spacing w:after="0" w:line="280" w:lineRule="exact"/>
            </w:pPr>
            <w:r>
              <w:rPr>
                <w:b/>
                <w:sz w:val="20"/>
              </w:rPr>
              <w:t>默认展示</w:t>
            </w:r>
          </w:p>
        </w:tc>
        <w:tc>
          <w:tcPr>
            <w:tcW w:type="dxa" w:w="4090"/>
            <w:vAlign w:val="center"/>
            <w:shd w:fill="E9EFF2"/>
            <w:tcMar>
              <w:top w:w="85" w:type="dxa"/>
              <w:bottom w:w="85" w:type="dxa"/>
              <w:left w:w="95" w:type="dxa"/>
              <w:right w:w="95" w:type="dxa"/>
            </w:tcMar>
          </w:tcPr>
          <w:p>
            <w:pPr>
              <w:spacing w:after="0" w:line="280" w:lineRule="exact"/>
            </w:pPr>
            <w:r>
              <w:rPr>
                <w:b/>
                <w:sz w:val="20"/>
              </w:rPr>
              <w:t>展开查看</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素材识别</w:t>
            </w:r>
          </w:p>
        </w:tc>
        <w:tc>
          <w:tcPr>
            <w:tcW w:type="dxa" w:w="3816"/>
            <w:vAlign w:val="center"/>
            <w:shd w:fill="FFFFFF"/>
            <w:tcMar>
              <w:top w:w="85" w:type="dxa"/>
              <w:bottom w:w="85" w:type="dxa"/>
              <w:left w:w="95" w:type="dxa"/>
              <w:right w:w="95" w:type="dxa"/>
            </w:tcMar>
          </w:tcPr>
          <w:p>
            <w:pPr>
              <w:spacing w:after="0" w:line="280" w:lineRule="exact"/>
            </w:pPr>
            <w:r>
              <w:rPr>
                <w:b w:val="0"/>
                <w:sz w:val="20"/>
              </w:rPr>
              <w:t>封面、简短标题、商品、作者</w:t>
            </w:r>
          </w:p>
        </w:tc>
        <w:tc>
          <w:tcPr>
            <w:tcW w:type="dxa" w:w="4090"/>
            <w:vAlign w:val="center"/>
            <w:shd w:fill="FFFFFF"/>
            <w:tcMar>
              <w:top w:w="85" w:type="dxa"/>
              <w:bottom w:w="85" w:type="dxa"/>
              <w:left w:w="95" w:type="dxa"/>
              <w:right w:w="95" w:type="dxa"/>
            </w:tcMar>
          </w:tcPr>
          <w:p>
            <w:pPr>
              <w:spacing w:after="0" w:line="280" w:lineRule="exact"/>
            </w:pPr>
            <w:r>
              <w:rPr>
                <w:b w:val="0"/>
                <w:sz w:val="20"/>
              </w:rPr>
              <w:t>素材ID、原视频链接、关联记录</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使用情境</w:t>
            </w:r>
          </w:p>
        </w:tc>
        <w:tc>
          <w:tcPr>
            <w:tcW w:type="dxa" w:w="3816"/>
            <w:vAlign w:val="center"/>
            <w:shd w:fill="F7F9FA"/>
            <w:tcMar>
              <w:top w:w="85" w:type="dxa"/>
              <w:bottom w:w="85" w:type="dxa"/>
              <w:left w:w="95" w:type="dxa"/>
              <w:right w:w="95" w:type="dxa"/>
            </w:tcMar>
          </w:tcPr>
          <w:p>
            <w:pPr>
              <w:spacing w:after="0" w:line="280" w:lineRule="exact"/>
            </w:pPr>
            <w:r>
              <w:rPr>
                <w:b w:val="0"/>
                <w:sz w:val="20"/>
              </w:rPr>
              <w:t>账户或店铺、平台投放状态</w:t>
            </w:r>
          </w:p>
        </w:tc>
        <w:tc>
          <w:tcPr>
            <w:tcW w:type="dxa" w:w="4090"/>
            <w:vAlign w:val="center"/>
            <w:shd w:fill="F7F9FA"/>
            <w:tcMar>
              <w:top w:w="85" w:type="dxa"/>
              <w:bottom w:w="85" w:type="dxa"/>
              <w:left w:w="95" w:type="dxa"/>
              <w:right w:w="95" w:type="dxa"/>
            </w:tcMar>
          </w:tcPr>
          <w:p>
            <w:pPr>
              <w:spacing w:after="0" w:line="280" w:lineRule="exact"/>
            </w:pPr>
            <w:r>
              <w:rPr>
                <w:b w:val="0"/>
                <w:sz w:val="20"/>
              </w:rPr>
              <w:t>商品与计划的其他使用情境</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经营表现</w:t>
            </w:r>
          </w:p>
        </w:tc>
        <w:tc>
          <w:tcPr>
            <w:tcW w:type="dxa" w:w="3816"/>
            <w:vAlign w:val="center"/>
            <w:shd w:fill="FFFFFF"/>
            <w:tcMar>
              <w:top w:w="85" w:type="dxa"/>
              <w:bottom w:w="85" w:type="dxa"/>
              <w:left w:w="95" w:type="dxa"/>
              <w:right w:w="95" w:type="dxa"/>
            </w:tcMar>
          </w:tcPr>
          <w:p>
            <w:pPr>
              <w:spacing w:after="0" w:line="280" w:lineRule="exact"/>
            </w:pPr>
            <w:r>
              <w:rPr>
                <w:b w:val="0"/>
                <w:sz w:val="20"/>
              </w:rPr>
              <w:t>花费、归因成交、订单及上下文指标</w:t>
            </w:r>
          </w:p>
        </w:tc>
        <w:tc>
          <w:tcPr>
            <w:tcW w:type="dxa" w:w="4090"/>
            <w:vAlign w:val="center"/>
            <w:shd w:fill="FFFFFF"/>
            <w:tcMar>
              <w:top w:w="85" w:type="dxa"/>
              <w:bottom w:w="85" w:type="dxa"/>
              <w:left w:w="95" w:type="dxa"/>
              <w:right w:w="95" w:type="dxa"/>
            </w:tcMar>
          </w:tcPr>
          <w:p>
            <w:pPr>
              <w:spacing w:after="0" w:line="280" w:lineRule="exact"/>
            </w:pPr>
            <w:r>
              <w:rPr>
                <w:b w:val="0"/>
                <w:sz w:val="20"/>
              </w:rPr>
              <w:t>CTR、CVR、观看指标、基准详情</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诊断</w:t>
            </w:r>
          </w:p>
        </w:tc>
        <w:tc>
          <w:tcPr>
            <w:tcW w:type="dxa" w:w="3816"/>
            <w:vAlign w:val="center"/>
            <w:shd w:fill="F7F9FA"/>
            <w:tcMar>
              <w:top w:w="85" w:type="dxa"/>
              <w:bottom w:w="85" w:type="dxa"/>
              <w:left w:w="95" w:type="dxa"/>
              <w:right w:w="95" w:type="dxa"/>
            </w:tcMar>
          </w:tcPr>
          <w:p>
            <w:pPr>
              <w:spacing w:after="0" w:line="280" w:lineRule="exact"/>
            </w:pPr>
            <w:r>
              <w:rPr>
                <w:b w:val="0"/>
                <w:sz w:val="20"/>
              </w:rPr>
              <w:t>证据状态、主要问题、建议操作</w:t>
            </w:r>
          </w:p>
        </w:tc>
        <w:tc>
          <w:tcPr>
            <w:tcW w:type="dxa" w:w="4090"/>
            <w:vAlign w:val="center"/>
            <w:shd w:fill="F7F9FA"/>
            <w:tcMar>
              <w:top w:w="85" w:type="dxa"/>
              <w:bottom w:w="85" w:type="dxa"/>
              <w:left w:w="95" w:type="dxa"/>
              <w:right w:w="95" w:type="dxa"/>
            </w:tcMar>
          </w:tcPr>
          <w:p>
            <w:pPr>
              <w:spacing w:after="0" w:line="280" w:lineRule="exact"/>
            </w:pPr>
            <w:r>
              <w:rPr>
                <w:b w:val="0"/>
                <w:sz w:val="20"/>
              </w:rPr>
              <w:t>内容结构、对比样本、修改要求</w:t>
            </w:r>
          </w:p>
        </w:tc>
      </w:tr>
    </w:tbl>
    <w:p>
      <w:pPr>
        <w:spacing w:after="20" w:before="0" w:line="240" w:lineRule="auto"/>
      </w:pPr>
      <w:r>
        <w:rPr>
          <w:sz w:val="4"/>
        </w:rPr>
      </w:r>
    </w:p>
    <w:p>
      <w:pPr>
        <w:pStyle w:val="Heading2"/>
      </w:pPr>
      <w:r>
        <w:t>分类与判断</w:t>
      </w:r>
    </w:p>
    <w:p>
      <w:r>
        <w:rPr>
          <w:b w:val="0"/>
        </w:rPr>
        <w:t>以“全部、需处理、观察中”等任务状态提供快捷筛选；阶段、风格、作者和商品作为独立条件。平台学习状态与产品自定义的成熟或衰退分类分别说明。内容结构评分不自动产生“优质核心”或“可放量”标签。</w:t>
      </w:r>
    </w:p>
    <w:p>
      <w:r>
        <w:rPr>
          <w:b w:val="0"/>
        </w:rPr>
        <w:t>同一视频用于不同商品或计划时允许分情境查看，不强行给唯一好坏结论。商品卡单独标识，不显示视频首帧或观看率建议，也不把“-1”当用户可理解的名称。</w:t>
      </w:r>
    </w:p>
    <w:p>
      <w:pPr>
        <w:pStyle w:val="Heading2"/>
      </w:pPr>
      <w:r>
        <w:t>操作与验收</w:t>
      </w:r>
    </w:p>
    <w:p>
      <w:r>
        <w:rPr>
          <w:b w:val="0"/>
        </w:rPr>
        <w:t>默认可预览、查看诊断和选择参考；有权限的角色可创建改版任务。诊断筛选与库存浏览可切换且不丢失范围。未成熟素材说明复核条件，达到商家设置的测试预算边界时进入人工复核，不能无限等待出单。</w:t>
      </w:r>
    </w:p>
    <w:p>
      <w:pPr>
        <w:pStyle w:val="Heading1"/>
        <w:pageBreakBefore/>
      </w:pPr>
      <w:r>
        <w:t>8 疲劳与素材详情优化</w:t>
      </w:r>
    </w:p>
    <w:p>
      <w:pPr>
        <w:pStyle w:val="Heading2"/>
      </w:pPr>
      <w:r>
        <w:t>对应页面</w:t>
      </w:r>
    </w:p>
    <w:p>
      <w:r>
        <w:rPr>
          <w:b w:val="0"/>
        </w:rPr>
        <w:t>E03与D03。疲劳作为素材表现中的筛选结果，完整证据进入素材详情。</w:t>
      </w:r>
    </w:p>
    <w:p>
      <w:pPr>
        <w:pStyle w:val="Heading2"/>
      </w:pPr>
      <w:r>
        <w:t>问题与原因</w:t>
      </w:r>
    </w:p>
    <w:p>
      <w:r>
        <w:rPr>
          <w:b w:val="0"/>
        </w:rPr>
        <w:t>空状态的平均疲劳分0.0、风险花费0与“正常”给人已经检查过的错觉。有数据时出现“健康/学习”、点击率下降100%、建议改首帧同时存在的情况。底部技术式口径说明没有帮助用户理解为什么得出结论。</w:t>
      </w:r>
    </w:p>
    <w:p>
      <w:pPr>
        <w:pStyle w:val="Heading2"/>
      </w:pPr>
      <w:r>
        <w:t>新的诊断顺序</w:t>
      </w:r>
    </w:p>
    <w:p>
      <w:r>
        <w:rPr>
          <w:b w:val="0"/>
        </w:rPr>
        <w:t>先确认历史与当前都有有效观测，再对比表现是否下降；继续核查消耗分配、商品条件和平台状态是否变化；最后给出疑似原因及建议。跨素材低于平均值不等于同一素材发生疲劳，库存老旧或近期无消耗也不等于疲劳。</w:t>
      </w:r>
    </w:p>
    <w:p>
      <w:r>
        <w:rPr>
          <w:b w:val="0"/>
        </w:rPr>
        <w:t>近期与基准使用不同天数时，金额和订单应按可比周期或日均口径比较，比率应使用正确分母聚合。页面展示具体日期与实际值，不只显示“近3天对比前8天”。当期尚未完整、数据回传未完成时说明限制。</w:t>
      </w:r>
    </w:p>
    <w:p>
      <w:pPr>
        <w:pStyle w:val="Heading2"/>
      </w:pPr>
      <w:r>
        <w:t>详情内容顺序</w:t>
      </w:r>
    </w:p>
    <w:p>
      <w:pPr>
        <w:spacing w:after="100"/>
      </w:pPr>
      <w:r>
        <w:rPr>
          <w:b w:val="0"/>
        </w:rPr>
        <w:t>1. 原视频与当前店铺、商品、计划、日期范围。</w:t>
      </w:r>
    </w:p>
    <w:p>
      <w:pPr>
        <w:spacing w:after="100"/>
      </w:pPr>
      <w:r>
        <w:rPr>
          <w:b w:val="0"/>
        </w:rPr>
        <w:t>2. 当前判断与证据程度，例如“疑似点击环节下降，待核查”。</w:t>
      </w:r>
    </w:p>
    <w:p>
      <w:pPr>
        <w:spacing w:after="100"/>
      </w:pPr>
      <w:r>
        <w:rPr>
          <w:b w:val="0"/>
        </w:rPr>
        <w:t>3. 当前与基准的实际数值、样本量、比较来源和变化。</w:t>
      </w:r>
    </w:p>
    <w:p>
      <w:pPr>
        <w:spacing w:after="100"/>
      </w:pPr>
      <w:r>
        <w:rPr>
          <w:b w:val="0"/>
        </w:rPr>
        <w:t>4. 可能影响表现的业务变化，如价格、库存、促销、预算或流量分配，缺少数据时由运营确认。</w:t>
      </w:r>
    </w:p>
    <w:p>
      <w:pPr>
        <w:spacing w:after="100"/>
      </w:pPr>
      <w:r>
        <w:rPr>
          <w:b w:val="0"/>
        </w:rPr>
        <w:t>5. 与原视频片段关联的内容观察，以及可尝试的改版要求。</w:t>
      </w:r>
    </w:p>
    <w:p>
      <w:pPr>
        <w:spacing w:after="100"/>
      </w:pPr>
      <w:r>
        <w:rPr>
          <w:b w:val="0"/>
        </w:rPr>
        <w:t>6. 保留、创建改版任务或继续观察，并记录下次复核条件。</w:t>
      </w:r>
    </w:p>
    <w:p>
      <w:pPr>
        <w:pStyle w:val="Heading2"/>
      </w:pPr>
      <w:r>
        <w:t>诊断边界</w:t>
      </w:r>
    </w:p>
    <w:p>
      <w:r>
        <w:rPr>
          <w:b w:val="0"/>
        </w:rPr>
        <w:t>数据不足时只提供可观察的内容结构建议，不预测CTR、ROI、爆款概率或可挽回成交额。只有2秒或6秒观看指标时，不生成精确到每秒的流失归因。没有明显下降时不默认套用“商业转化衰减”。</w:t>
      </w:r>
    </w:p>
    <w:p>
      <w:pPr>
        <w:pStyle w:val="Heading2"/>
      </w:pPr>
      <w:r>
        <w:t>可执行的改版示例</w:t>
      </w:r>
    </w:p>
    <w:p>
      <w:r>
        <w:rPr>
          <w:b w:val="0"/>
        </w:rPr>
        <w:t>运营确认需要测试开头表达后，任务写为“保留商品、主体演示和优惠文案，仅调整前3秒的商品展示顺序，输出一个新版本”。具体时间段以原素材检查结果为准。这比同时要求换首帧、缩短视频、改CTA更便于执行和复盘。</w:t>
      </w:r>
    </w:p>
    <w:p>
      <w:pPr>
        <w:pStyle w:val="Heading1"/>
        <w:pageBreakBefore/>
      </w:pPr>
      <w:r>
        <w:t>9 投放中心与任务记录优化</w:t>
      </w:r>
    </w:p>
    <w:p>
      <w:pPr>
        <w:pStyle w:val="Heading2"/>
      </w:pPr>
      <w:r>
        <w:t>对应页面</w:t>
      </w:r>
    </w:p>
    <w:p>
      <w:r>
        <w:rPr>
          <w:b w:val="0"/>
        </w:rPr>
        <w:t>E06、E07。截图明确显示两个页面尚未开放，当前不能按已有完整闭环设计用户承诺。</w:t>
      </w:r>
    </w:p>
    <w:p>
      <w:pPr>
        <w:pStyle w:val="Heading2"/>
      </w:pPr>
      <w:r>
        <w:t>问题与原因</w:t>
      </w:r>
    </w:p>
    <w:p>
      <w:r>
        <w:rPr>
          <w:b w:val="0"/>
        </w:rPr>
        <w:t>入口位于主要页签中，点击后却只有“即将上线”。页面暴露PRD P0、接口、后端上线、独立授权等内部说明，商家难以判断自己缺少权限还是产品尚未提供能力。任务记录还与左侧已有任务模块重叠。</w:t>
      </w:r>
    </w:p>
    <w:p>
      <w:pPr>
        <w:pStyle w:val="Heading2"/>
      </w:pPr>
      <w:r>
        <w:t>当前版本调整</w:t>
      </w:r>
    </w:p>
    <w:p>
      <w:r>
        <w:rPr>
          <w:b w:val="0"/>
        </w:rPr>
        <w:t>从主路径隐藏未开放的投放中心和任务记录页签。旧链接进入时使用简短的“功能暂未开放”说明，提供“返回素材表现”，不要求用户反复授权来解决尚未上线的问题。</w:t>
      </w:r>
    </w:p>
    <w:p>
      <w:r>
        <w:rPr>
          <w:b w:val="0"/>
        </w:rPr>
        <w:t>如果当前只能输出诊断报告或修改要求，就只显示这些真实可用操作。不要展示无法兑现的发布、调预算、关停按钮，也不展示不能执行的任务列表占位。</w:t>
      </w:r>
    </w:p>
    <w:p>
      <w:pPr>
        <w:pStyle w:val="Heading2"/>
      </w:pPr>
      <w:r>
        <w:t>后续任务承接</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任务阶段</w:t>
            </w:r>
          </w:p>
        </w:tc>
        <w:tc>
          <w:tcPr>
            <w:tcW w:type="dxa" w:w="3816"/>
            <w:vAlign w:val="center"/>
            <w:shd w:fill="E9EFF2"/>
            <w:tcMar>
              <w:top w:w="85" w:type="dxa"/>
              <w:bottom w:w="85" w:type="dxa"/>
              <w:left w:w="95" w:type="dxa"/>
              <w:right w:w="95" w:type="dxa"/>
            </w:tcMar>
          </w:tcPr>
          <w:p>
            <w:pPr>
              <w:spacing w:after="0" w:line="280" w:lineRule="exact"/>
            </w:pPr>
            <w:r>
              <w:rPr>
                <w:b/>
                <w:sz w:val="20"/>
              </w:rPr>
              <w:t>用户需要看到</w:t>
            </w:r>
          </w:p>
        </w:tc>
        <w:tc>
          <w:tcPr>
            <w:tcW w:type="dxa" w:w="4090"/>
            <w:vAlign w:val="center"/>
            <w:shd w:fill="E9EFF2"/>
            <w:tcMar>
              <w:top w:w="85" w:type="dxa"/>
              <w:bottom w:w="85" w:type="dxa"/>
              <w:left w:w="95" w:type="dxa"/>
              <w:right w:w="95" w:type="dxa"/>
            </w:tcMar>
          </w:tcPr>
          <w:p>
            <w:pPr>
              <w:spacing w:after="0" w:line="280" w:lineRule="exact"/>
            </w:pPr>
            <w:r>
              <w:rPr>
                <w:b/>
                <w:sz w:val="20"/>
              </w:rPr>
              <w:t>状态边界</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待确认</w:t>
            </w:r>
          </w:p>
        </w:tc>
        <w:tc>
          <w:tcPr>
            <w:tcW w:type="dxa" w:w="3816"/>
            <w:vAlign w:val="center"/>
            <w:shd w:fill="FFFFFF"/>
            <w:tcMar>
              <w:top w:w="85" w:type="dxa"/>
              <w:bottom w:w="85" w:type="dxa"/>
              <w:left w:w="95" w:type="dxa"/>
              <w:right w:w="95" w:type="dxa"/>
            </w:tcMar>
          </w:tcPr>
          <w:p>
            <w:pPr>
              <w:spacing w:after="0" w:line="280" w:lineRule="exact"/>
            </w:pPr>
            <w:r>
              <w:rPr>
                <w:b w:val="0"/>
                <w:sz w:val="20"/>
              </w:rPr>
              <w:t>原素材、问题证据、建议改动</w:t>
            </w:r>
          </w:p>
        </w:tc>
        <w:tc>
          <w:tcPr>
            <w:tcW w:type="dxa" w:w="4090"/>
            <w:vAlign w:val="center"/>
            <w:shd w:fill="FFFFFF"/>
            <w:tcMar>
              <w:top w:w="85" w:type="dxa"/>
              <w:bottom w:w="85" w:type="dxa"/>
              <w:left w:w="95" w:type="dxa"/>
              <w:right w:w="95" w:type="dxa"/>
            </w:tcMar>
          </w:tcPr>
          <w:p>
            <w:pPr>
              <w:spacing w:after="0" w:line="280" w:lineRule="exact"/>
            </w:pPr>
            <w:r>
              <w:rPr>
                <w:b w:val="0"/>
                <w:sz w:val="20"/>
              </w:rPr>
              <w:t>建议尚未成为制作要求。</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待制作或制作中</w:t>
            </w:r>
          </w:p>
        </w:tc>
        <w:tc>
          <w:tcPr>
            <w:tcW w:type="dxa" w:w="3816"/>
            <w:vAlign w:val="center"/>
            <w:shd w:fill="F7F9FA"/>
            <w:tcMar>
              <w:top w:w="85" w:type="dxa"/>
              <w:bottom w:w="85" w:type="dxa"/>
              <w:left w:w="95" w:type="dxa"/>
              <w:right w:w="95" w:type="dxa"/>
            </w:tcMar>
          </w:tcPr>
          <w:p>
            <w:pPr>
              <w:spacing w:after="0" w:line="280" w:lineRule="exact"/>
            </w:pPr>
            <w:r>
              <w:rPr>
                <w:b w:val="0"/>
                <w:sz w:val="20"/>
              </w:rPr>
              <w:t>负责人、商品资料、保留与替换项</w:t>
            </w:r>
          </w:p>
        </w:tc>
        <w:tc>
          <w:tcPr>
            <w:tcW w:type="dxa" w:w="4090"/>
            <w:vAlign w:val="center"/>
            <w:shd w:fill="F7F9FA"/>
            <w:tcMar>
              <w:top w:w="85" w:type="dxa"/>
              <w:bottom w:w="85" w:type="dxa"/>
              <w:left w:w="95" w:type="dxa"/>
              <w:right w:w="95" w:type="dxa"/>
            </w:tcMar>
          </w:tcPr>
          <w:p>
            <w:pPr>
              <w:spacing w:after="0" w:line="280" w:lineRule="exact"/>
            </w:pPr>
            <w:r>
              <w:rPr>
                <w:b w:val="0"/>
                <w:sz w:val="20"/>
              </w:rPr>
              <w:t>不等于已经生成或可发布。</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待验收</w:t>
            </w:r>
          </w:p>
        </w:tc>
        <w:tc>
          <w:tcPr>
            <w:tcW w:type="dxa" w:w="3816"/>
            <w:vAlign w:val="center"/>
            <w:shd w:fill="FFFFFF"/>
            <w:tcMar>
              <w:top w:w="85" w:type="dxa"/>
              <w:bottom w:w="85" w:type="dxa"/>
              <w:left w:w="95" w:type="dxa"/>
              <w:right w:w="95" w:type="dxa"/>
            </w:tcMar>
          </w:tcPr>
          <w:p>
            <w:pPr>
              <w:spacing w:after="0" w:line="280" w:lineRule="exact"/>
            </w:pPr>
            <w:r>
              <w:rPr>
                <w:b w:val="0"/>
                <w:sz w:val="20"/>
              </w:rPr>
              <w:t>新版本、任务要求、检查结果</w:t>
            </w:r>
          </w:p>
        </w:tc>
        <w:tc>
          <w:tcPr>
            <w:tcW w:type="dxa" w:w="4090"/>
            <w:vAlign w:val="center"/>
            <w:shd w:fill="FFFFFF"/>
            <w:tcMar>
              <w:top w:w="85" w:type="dxa"/>
              <w:bottom w:w="85" w:type="dxa"/>
              <w:left w:w="95" w:type="dxa"/>
              <w:right w:w="95" w:type="dxa"/>
            </w:tcMar>
          </w:tcPr>
          <w:p>
            <w:pPr>
              <w:spacing w:after="0" w:line="280" w:lineRule="exact"/>
            </w:pPr>
            <w:r>
              <w:rPr>
                <w:b w:val="0"/>
                <w:sz w:val="20"/>
              </w:rPr>
              <w:t>生成完成不等于可用。</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待投放或已提交</w:t>
            </w:r>
          </w:p>
        </w:tc>
        <w:tc>
          <w:tcPr>
            <w:tcW w:type="dxa" w:w="3816"/>
            <w:vAlign w:val="center"/>
            <w:shd w:fill="F7F9FA"/>
            <w:tcMar>
              <w:top w:w="85" w:type="dxa"/>
              <w:bottom w:w="85" w:type="dxa"/>
              <w:left w:w="95" w:type="dxa"/>
              <w:right w:w="95" w:type="dxa"/>
            </w:tcMar>
          </w:tcPr>
          <w:p>
            <w:pPr>
              <w:spacing w:after="0" w:line="280" w:lineRule="exact"/>
            </w:pPr>
            <w:r>
              <w:rPr>
                <w:b w:val="0"/>
                <w:sz w:val="20"/>
              </w:rPr>
              <w:t>采用版本、关联对象、提交结果</w:t>
            </w:r>
          </w:p>
        </w:tc>
        <w:tc>
          <w:tcPr>
            <w:tcW w:type="dxa" w:w="4090"/>
            <w:vAlign w:val="center"/>
            <w:shd w:fill="F7F9FA"/>
            <w:tcMar>
              <w:top w:w="85" w:type="dxa"/>
              <w:bottom w:w="85" w:type="dxa"/>
              <w:left w:w="95" w:type="dxa"/>
              <w:right w:w="95" w:type="dxa"/>
            </w:tcMar>
          </w:tcPr>
          <w:p>
            <w:pPr>
              <w:spacing w:after="0" w:line="280" w:lineRule="exact"/>
            </w:pPr>
            <w:r>
              <w:rPr>
                <w:b w:val="0"/>
                <w:sz w:val="20"/>
              </w:rPr>
              <w:t>提交成功不等于正在投放。</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观察与复盘</w:t>
            </w:r>
          </w:p>
        </w:tc>
        <w:tc>
          <w:tcPr>
            <w:tcW w:type="dxa" w:w="3816"/>
            <w:vAlign w:val="center"/>
            <w:shd w:fill="FFFFFF"/>
            <w:tcMar>
              <w:top w:w="85" w:type="dxa"/>
              <w:bottom w:w="85" w:type="dxa"/>
              <w:left w:w="95" w:type="dxa"/>
              <w:right w:w="95" w:type="dxa"/>
            </w:tcMar>
          </w:tcPr>
          <w:p>
            <w:pPr>
              <w:spacing w:after="0" w:line="280" w:lineRule="exact"/>
            </w:pPr>
            <w:r>
              <w:rPr>
                <w:b w:val="0"/>
                <w:sz w:val="20"/>
              </w:rPr>
              <w:t>上线范围、时间、实际表现和结论</w:t>
            </w:r>
          </w:p>
        </w:tc>
        <w:tc>
          <w:tcPr>
            <w:tcW w:type="dxa" w:w="4090"/>
            <w:vAlign w:val="center"/>
            <w:shd w:fill="FFFFFF"/>
            <w:tcMar>
              <w:top w:w="85" w:type="dxa"/>
              <w:bottom w:w="85" w:type="dxa"/>
              <w:left w:w="95" w:type="dxa"/>
              <w:right w:w="95" w:type="dxa"/>
            </w:tcMar>
          </w:tcPr>
          <w:p>
            <w:pPr>
              <w:spacing w:after="0" w:line="280" w:lineRule="exact"/>
            </w:pPr>
            <w:r>
              <w:rPr>
                <w:b w:val="0"/>
                <w:sz w:val="20"/>
              </w:rPr>
              <w:t>数据不足时继续观察，不标优化成功。</w:t>
            </w:r>
          </w:p>
        </w:tc>
      </w:tr>
    </w:tbl>
    <w:p>
      <w:pPr>
        <w:spacing w:after="20" w:before="0" w:line="240" w:lineRule="auto"/>
      </w:pPr>
      <w:r>
        <w:rPr>
          <w:sz w:val="4"/>
        </w:rPr>
      </w:r>
    </w:p>
    <w:p>
      <w:r>
        <w:rPr>
          <w:b w:val="0"/>
        </w:rPr>
        <w:t>任务归入现有“任务”模块，详情保留来源商品、素材及诊断快照。从素材详情创建后可查看任务；任务返回素材时恢复原范围，避免同一工作生成多份断开的记录。</w:t>
      </w:r>
    </w:p>
    <w:p>
      <w:pPr>
        <w:pStyle w:val="Heading2"/>
      </w:pPr>
      <w:r>
        <w:t>执行权限</w:t>
      </w:r>
    </w:p>
    <w:p>
      <w:r>
        <w:rPr>
          <w:b w:val="0"/>
        </w:rPr>
        <w:t>数据读取授权、素材使用权限和投放操作权限分别识别。后续若提供发布、移除素材、调整预算等动作，应清楚写明实际作用对象与结果；具体动作按真实平台能力和工作空间角色开放，不能用统一“关停”覆盖所有对象。</w:t>
      </w:r>
    </w:p>
    <w:p>
      <w:pPr>
        <w:pStyle w:val="Heading1"/>
        <w:pageBreakBefore/>
      </w:pPr>
      <w:r>
        <w:t>10 数据源页面与账户管理</w:t>
      </w:r>
    </w:p>
    <w:p>
      <w:pPr>
        <w:pStyle w:val="Heading2"/>
      </w:pPr>
      <w:r>
        <w:t>对应页面</w:t>
      </w:r>
    </w:p>
    <w:p>
      <w:r>
        <w:rPr>
          <w:b w:val="0"/>
        </w:rPr>
        <w:t>E08及其与素材洞察的返回关系。保留“设置 → 数据源”管理入口，页面标题建议为“广告账户与数据连接”，更直接说明用途。</w:t>
      </w:r>
    </w:p>
    <w:p>
      <w:pPr>
        <w:pStyle w:val="Heading2"/>
      </w:pPr>
      <w:r>
        <w:t>问题与原因</w:t>
      </w:r>
    </w:p>
    <w:p>
      <w:r>
        <w:rPr>
          <w:b w:val="0"/>
        </w:rPr>
        <w:t>当前页面以平台卡片为主，TikTok只有较小的“连接”按钮。用户不清楚连接后还要选择账户、启用同步，以及哪些数据会可用。Facebook“即将支持”与当前可用平台并列，未能突出可完成的操作。</w:t>
      </w:r>
    </w:p>
    <w:p>
      <w:pPr>
        <w:pStyle w:val="Heading2"/>
      </w:pPr>
      <w:r>
        <w:t>未连接时的层级</w:t>
      </w:r>
    </w:p>
    <w:p>
      <w:r>
        <w:rPr>
          <w:b w:val="0"/>
        </w:rPr>
        <w:t>先展示已支持的平台、接入价值和明确连接按钮。对于从素材洞察进入的用户，直接聚焦 TikTok 接入流程。暂不支持的平台移入低优先级“后续支持”区域，不占主要操作位置。</w:t>
      </w:r>
    </w:p>
    <w:p>
      <w:pPr>
        <w:pStyle w:val="Heading2"/>
      </w:pPr>
      <w:r>
        <w:t>连接后的账户记录</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信息</w:t>
            </w:r>
          </w:p>
        </w:tc>
        <w:tc>
          <w:tcPr>
            <w:tcW w:type="dxa" w:w="3816"/>
            <w:vAlign w:val="center"/>
            <w:shd w:fill="E9EFF2"/>
            <w:tcMar>
              <w:top w:w="85" w:type="dxa"/>
              <w:bottom w:w="85" w:type="dxa"/>
              <w:left w:w="95" w:type="dxa"/>
              <w:right w:w="95" w:type="dxa"/>
            </w:tcMar>
          </w:tcPr>
          <w:p>
            <w:pPr>
              <w:spacing w:after="0" w:line="280" w:lineRule="exact"/>
            </w:pPr>
            <w:r>
              <w:rPr>
                <w:b/>
                <w:sz w:val="20"/>
              </w:rPr>
              <w:t>用户用途</w:t>
            </w:r>
          </w:p>
        </w:tc>
        <w:tc>
          <w:tcPr>
            <w:tcW w:type="dxa" w:w="4090"/>
            <w:vAlign w:val="center"/>
            <w:shd w:fill="E9EFF2"/>
            <w:tcMar>
              <w:top w:w="85" w:type="dxa"/>
              <w:bottom w:w="85" w:type="dxa"/>
              <w:left w:w="95" w:type="dxa"/>
              <w:right w:w="95" w:type="dxa"/>
            </w:tcMar>
          </w:tcPr>
          <w:p>
            <w:pPr>
              <w:spacing w:after="0" w:line="280" w:lineRule="exact"/>
            </w:pPr>
            <w:r>
              <w:rPr>
                <w:b/>
                <w:sz w:val="20"/>
              </w:rPr>
              <w:t>展示与操作规则</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平台及账户名称</w:t>
            </w:r>
          </w:p>
        </w:tc>
        <w:tc>
          <w:tcPr>
            <w:tcW w:type="dxa" w:w="3816"/>
            <w:vAlign w:val="center"/>
            <w:shd w:fill="FFFFFF"/>
            <w:tcMar>
              <w:top w:w="85" w:type="dxa"/>
              <w:bottom w:w="85" w:type="dxa"/>
              <w:left w:w="95" w:type="dxa"/>
              <w:right w:w="95" w:type="dxa"/>
            </w:tcMar>
          </w:tcPr>
          <w:p>
            <w:pPr>
              <w:spacing w:after="0" w:line="280" w:lineRule="exact"/>
            </w:pPr>
            <w:r>
              <w:rPr>
                <w:b w:val="0"/>
                <w:sz w:val="20"/>
              </w:rPr>
              <w:t>确认接入对象</w:t>
            </w:r>
          </w:p>
        </w:tc>
        <w:tc>
          <w:tcPr>
            <w:tcW w:type="dxa" w:w="4090"/>
            <w:vAlign w:val="center"/>
            <w:shd w:fill="FFFFFF"/>
            <w:tcMar>
              <w:top w:w="85" w:type="dxa"/>
              <w:bottom w:w="85" w:type="dxa"/>
              <w:left w:w="95" w:type="dxa"/>
              <w:right w:w="95" w:type="dxa"/>
            </w:tcMar>
          </w:tcPr>
          <w:p>
            <w:pPr>
              <w:spacing w:after="0" w:line="280" w:lineRule="exact"/>
            </w:pPr>
            <w:r>
              <w:rPr>
                <w:b w:val="0"/>
                <w:sz w:val="20"/>
              </w:rPr>
              <w:t>名称优先，ID用于辅助识别和复制。</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所属店铺与报表范围</w:t>
            </w:r>
          </w:p>
        </w:tc>
        <w:tc>
          <w:tcPr>
            <w:tcW w:type="dxa" w:w="3816"/>
            <w:vAlign w:val="center"/>
            <w:shd w:fill="F7F9FA"/>
            <w:tcMar>
              <w:top w:w="85" w:type="dxa"/>
              <w:bottom w:w="85" w:type="dxa"/>
              <w:left w:w="95" w:type="dxa"/>
              <w:right w:w="95" w:type="dxa"/>
            </w:tcMar>
          </w:tcPr>
          <w:p>
            <w:pPr>
              <w:spacing w:after="0" w:line="280" w:lineRule="exact"/>
            </w:pPr>
            <w:r>
              <w:rPr>
                <w:b w:val="0"/>
                <w:sz w:val="20"/>
              </w:rPr>
              <w:t>判断哪些业务可分析</w:t>
            </w:r>
          </w:p>
        </w:tc>
        <w:tc>
          <w:tcPr>
            <w:tcW w:type="dxa" w:w="4090"/>
            <w:vAlign w:val="center"/>
            <w:shd w:fill="F7F9FA"/>
            <w:tcMar>
              <w:top w:w="85" w:type="dxa"/>
              <w:bottom w:w="85" w:type="dxa"/>
              <w:left w:w="95" w:type="dxa"/>
              <w:right w:w="95" w:type="dxa"/>
            </w:tcMar>
          </w:tcPr>
          <w:p>
            <w:pPr>
              <w:spacing w:after="0" w:line="280" w:lineRule="exact"/>
            </w:pPr>
            <w:r>
              <w:rPr>
                <w:b w:val="0"/>
                <w:sz w:val="20"/>
              </w:rPr>
              <w:t>仅显示实际可访问范围，缺口明确说明。</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连接状态</w:t>
            </w:r>
          </w:p>
        </w:tc>
        <w:tc>
          <w:tcPr>
            <w:tcW w:type="dxa" w:w="3816"/>
            <w:vAlign w:val="center"/>
            <w:shd w:fill="FFFFFF"/>
            <w:tcMar>
              <w:top w:w="85" w:type="dxa"/>
              <w:bottom w:w="85" w:type="dxa"/>
              <w:left w:w="95" w:type="dxa"/>
              <w:right w:w="95" w:type="dxa"/>
            </w:tcMar>
          </w:tcPr>
          <w:p>
            <w:pPr>
              <w:spacing w:after="0" w:line="280" w:lineRule="exact"/>
            </w:pPr>
            <w:r>
              <w:rPr>
                <w:b w:val="0"/>
                <w:sz w:val="20"/>
              </w:rPr>
              <w:t>判断是否需重新授权</w:t>
            </w:r>
          </w:p>
        </w:tc>
        <w:tc>
          <w:tcPr>
            <w:tcW w:type="dxa" w:w="4090"/>
            <w:vAlign w:val="center"/>
            <w:shd w:fill="FFFFFF"/>
            <w:tcMar>
              <w:top w:w="85" w:type="dxa"/>
              <w:bottom w:w="85" w:type="dxa"/>
              <w:left w:w="95" w:type="dxa"/>
              <w:right w:w="95" w:type="dxa"/>
            </w:tcMar>
          </w:tcPr>
          <w:p>
            <w:pPr>
              <w:spacing w:after="0" w:line="280" w:lineRule="exact"/>
            </w:pPr>
            <w:r>
              <w:rPr>
                <w:b w:val="0"/>
                <w:sz w:val="20"/>
              </w:rPr>
              <w:t>已连接、需重连、权限待补充分别表达。</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同步状态</w:t>
            </w:r>
          </w:p>
        </w:tc>
        <w:tc>
          <w:tcPr>
            <w:tcW w:type="dxa" w:w="3816"/>
            <w:vAlign w:val="center"/>
            <w:shd w:fill="F7F9FA"/>
            <w:tcMar>
              <w:top w:w="85" w:type="dxa"/>
              <w:bottom w:w="85" w:type="dxa"/>
              <w:left w:w="95" w:type="dxa"/>
              <w:right w:w="95" w:type="dxa"/>
            </w:tcMar>
          </w:tcPr>
          <w:p>
            <w:pPr>
              <w:spacing w:after="0" w:line="280" w:lineRule="exact"/>
            </w:pPr>
            <w:r>
              <w:rPr>
                <w:b w:val="0"/>
                <w:sz w:val="20"/>
              </w:rPr>
              <w:t>判断数据是否正在更新</w:t>
            </w:r>
          </w:p>
        </w:tc>
        <w:tc>
          <w:tcPr>
            <w:tcW w:type="dxa" w:w="4090"/>
            <w:vAlign w:val="center"/>
            <w:shd w:fill="F7F9FA"/>
            <w:tcMar>
              <w:top w:w="85" w:type="dxa"/>
              <w:bottom w:w="85" w:type="dxa"/>
              <w:left w:w="95" w:type="dxa"/>
              <w:right w:w="95" w:type="dxa"/>
            </w:tcMar>
          </w:tcPr>
          <w:p>
            <w:pPr>
              <w:spacing w:after="0" w:line="280" w:lineRule="exact"/>
            </w:pPr>
            <w:r>
              <w:rPr>
                <w:b w:val="0"/>
                <w:sz w:val="20"/>
              </w:rPr>
              <w:t>未开启、同步中、已更新、暂停、失败。</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数据时间与覆盖期</w:t>
            </w:r>
          </w:p>
        </w:tc>
        <w:tc>
          <w:tcPr>
            <w:tcW w:type="dxa" w:w="3816"/>
            <w:vAlign w:val="center"/>
            <w:shd w:fill="FFFFFF"/>
            <w:tcMar>
              <w:top w:w="85" w:type="dxa"/>
              <w:bottom w:w="85" w:type="dxa"/>
              <w:left w:w="95" w:type="dxa"/>
              <w:right w:w="95" w:type="dxa"/>
            </w:tcMar>
          </w:tcPr>
          <w:p>
            <w:pPr>
              <w:spacing w:after="0" w:line="280" w:lineRule="exact"/>
            </w:pPr>
            <w:r>
              <w:rPr>
                <w:b w:val="0"/>
                <w:sz w:val="20"/>
              </w:rPr>
              <w:t>判断分析是否及时</w:t>
            </w:r>
          </w:p>
        </w:tc>
        <w:tc>
          <w:tcPr>
            <w:tcW w:type="dxa" w:w="4090"/>
            <w:vAlign w:val="center"/>
            <w:shd w:fill="FFFFFF"/>
            <w:tcMar>
              <w:top w:w="85" w:type="dxa"/>
              <w:bottom w:w="85" w:type="dxa"/>
              <w:left w:w="95" w:type="dxa"/>
              <w:right w:w="95" w:type="dxa"/>
            </w:tcMar>
          </w:tcPr>
          <w:p>
            <w:pPr>
              <w:spacing w:after="0" w:line="280" w:lineRule="exact"/>
            </w:pPr>
            <w:r>
              <w:rPr>
                <w:b w:val="0"/>
                <w:sz w:val="20"/>
              </w:rPr>
              <w:t>最近成功更新、可用起止日期和缺失区间。</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可用操作</w:t>
            </w:r>
          </w:p>
        </w:tc>
        <w:tc>
          <w:tcPr>
            <w:tcW w:type="dxa" w:w="3816"/>
            <w:vAlign w:val="center"/>
            <w:shd w:fill="F7F9FA"/>
            <w:tcMar>
              <w:top w:w="85" w:type="dxa"/>
              <w:bottom w:w="85" w:type="dxa"/>
              <w:left w:w="95" w:type="dxa"/>
              <w:right w:w="95" w:type="dxa"/>
            </w:tcMar>
          </w:tcPr>
          <w:p>
            <w:pPr>
              <w:spacing w:after="0" w:line="280" w:lineRule="exact"/>
            </w:pPr>
            <w:r>
              <w:rPr>
                <w:b w:val="0"/>
                <w:sz w:val="20"/>
              </w:rPr>
              <w:t>恢复或调整接入</w:t>
            </w:r>
          </w:p>
        </w:tc>
        <w:tc>
          <w:tcPr>
            <w:tcW w:type="dxa" w:w="4090"/>
            <w:vAlign w:val="center"/>
            <w:shd w:fill="F7F9FA"/>
            <w:tcMar>
              <w:top w:w="85" w:type="dxa"/>
              <w:bottom w:w="85" w:type="dxa"/>
              <w:left w:w="95" w:type="dxa"/>
              <w:right w:w="95" w:type="dxa"/>
            </w:tcMar>
          </w:tcPr>
          <w:p>
            <w:pPr>
              <w:spacing w:after="0" w:line="280" w:lineRule="exact"/>
            </w:pPr>
            <w:r>
              <w:rPr>
                <w:b w:val="0"/>
                <w:sz w:val="20"/>
              </w:rPr>
              <w:t>开始同步、重试、补充授权、管理范围、查看洞察。</w:t>
            </w:r>
          </w:p>
        </w:tc>
      </w:tr>
    </w:tbl>
    <w:p>
      <w:pPr>
        <w:spacing w:after="20" w:before="0" w:line="240" w:lineRule="auto"/>
      </w:pPr>
      <w:r>
        <w:rPr>
          <w:sz w:val="4"/>
        </w:rPr>
      </w:r>
    </w:p>
    <w:p>
      <w:r>
        <w:rPr>
          <w:b w:val="0"/>
        </w:rPr>
        <w:t>详细失败记录、历史任务和技术错误放在展开区或运营后台；用户优先看到可理解的原因与恢复动作。不要将连接成功、同步成功和广告正在投放压缩成同一个绿色状态。</w:t>
      </w:r>
    </w:p>
    <w:p>
      <w:pPr>
        <w:pStyle w:val="Heading2"/>
      </w:pPr>
      <w:r>
        <w:t>批量账户体验</w:t>
      </w:r>
    </w:p>
    <w:p>
      <w:r>
        <w:rPr>
          <w:b w:val="0"/>
        </w:rPr>
        <w:t>同一账户重复连接时引导管理已有连接，不新增重复记录。多个账户部分失败时逐项展示，保留正常数据。更换授权人或移交管理时保留可追溯关系，避免设计师需要单独连接同一个账户。</w:t>
      </w:r>
    </w:p>
    <w:p>
      <w:pPr>
        <w:pStyle w:val="Heading2"/>
      </w:pPr>
      <w:r>
        <w:t>暂停与断开</w:t>
      </w:r>
    </w:p>
    <w:p>
      <w:r>
        <w:rPr>
          <w:b w:val="0"/>
        </w:rPr>
        <w:t>“暂停数据同步”应说明只停止更新，不操作广告投放。“断开连接”与“删除历史数据”分开，操作前明确影响范围；断开后如何保留或清除历史数据遵循产品已公布的规则，不静默删除团队资料。</w:t>
      </w:r>
    </w:p>
    <w:p>
      <w:pPr>
        <w:pStyle w:val="Heading1"/>
        <w:pageBreakBefore/>
      </w:pPr>
      <w:r>
        <w:t>11 授权激励与运营支持</w:t>
      </w:r>
    </w:p>
    <w:p>
      <w:pPr>
        <w:pStyle w:val="Heading2"/>
      </w:pPr>
      <w:r>
        <w:t>800积分提示需要明确规则</w:t>
      </w:r>
    </w:p>
    <w:p>
      <w:r>
        <w:rPr>
          <w:b w:val="0"/>
        </w:rPr>
        <w:t>截图中的“完成广告账户授权，一次性获取800积分”可以保留为辅助激励，但主说明应突出数据分析价值。奖励不应掩盖权限、账户选择或同步未完成的状态。</w:t>
      </w:r>
    </w:p>
    <w:p>
      <w:pPr>
        <w:pStyle w:val="Heading2"/>
      </w:pPr>
      <w:r>
        <w:t>建议的展示方式</w:t>
      </w:r>
    </w:p>
    <w:p>
      <w:r>
        <w:rPr>
          <w:b w:val="0"/>
        </w:rPr>
        <w:t>主标题为“连接账户，查看素材表现”；辅助说明为“首次符合条件的授权可获800积分，查看规则”。若当前没有明确的资格、发放和重连规则，应先补齐规则再推广。</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环节</w:t>
            </w:r>
          </w:p>
        </w:tc>
        <w:tc>
          <w:tcPr>
            <w:tcW w:type="dxa" w:w="3816"/>
            <w:vAlign w:val="center"/>
            <w:shd w:fill="E9EFF2"/>
            <w:tcMar>
              <w:top w:w="85" w:type="dxa"/>
              <w:bottom w:w="85" w:type="dxa"/>
              <w:left w:w="95" w:type="dxa"/>
              <w:right w:w="95" w:type="dxa"/>
            </w:tcMar>
          </w:tcPr>
          <w:p>
            <w:pPr>
              <w:spacing w:after="0" w:line="280" w:lineRule="exact"/>
            </w:pPr>
            <w:r>
              <w:rPr>
                <w:b/>
                <w:sz w:val="20"/>
              </w:rPr>
              <w:t>建议规则</w:t>
            </w:r>
          </w:p>
        </w:tc>
        <w:tc>
          <w:tcPr>
            <w:tcW w:type="dxa" w:w="4090"/>
            <w:vAlign w:val="center"/>
            <w:shd w:fill="E9EFF2"/>
            <w:tcMar>
              <w:top w:w="85" w:type="dxa"/>
              <w:bottom w:w="85" w:type="dxa"/>
              <w:left w:w="95" w:type="dxa"/>
              <w:right w:w="95" w:type="dxa"/>
            </w:tcMar>
          </w:tcPr>
          <w:p>
            <w:pPr>
              <w:spacing w:after="0" w:line="280" w:lineRule="exact"/>
            </w:pPr>
            <w:r>
              <w:rPr>
                <w:b/>
                <w:sz w:val="20"/>
              </w:rPr>
              <w:t>异常处理</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奖励资格</w:t>
            </w:r>
          </w:p>
        </w:tc>
        <w:tc>
          <w:tcPr>
            <w:tcW w:type="dxa" w:w="3816"/>
            <w:vAlign w:val="center"/>
            <w:shd w:fill="FFFFFF"/>
            <w:tcMar>
              <w:top w:w="85" w:type="dxa"/>
              <w:bottom w:w="85" w:type="dxa"/>
              <w:left w:w="95" w:type="dxa"/>
              <w:right w:w="95" w:type="dxa"/>
            </w:tcMar>
          </w:tcPr>
          <w:p>
            <w:pPr>
              <w:spacing w:after="0" w:line="280" w:lineRule="exact"/>
            </w:pPr>
            <w:r>
              <w:rPr>
                <w:b w:val="0"/>
                <w:sz w:val="20"/>
              </w:rPr>
              <w:t>建议按工作空间首次有效授权发放一次，最终以正式活动规则为准。</w:t>
            </w:r>
          </w:p>
        </w:tc>
        <w:tc>
          <w:tcPr>
            <w:tcW w:type="dxa" w:w="4090"/>
            <w:vAlign w:val="center"/>
            <w:shd w:fill="FFFFFF"/>
            <w:tcMar>
              <w:top w:w="85" w:type="dxa"/>
              <w:bottom w:w="85" w:type="dxa"/>
              <w:left w:w="95" w:type="dxa"/>
              <w:right w:w="95" w:type="dxa"/>
            </w:tcMar>
          </w:tcPr>
          <w:p>
            <w:pPr>
              <w:spacing w:after="0" w:line="280" w:lineRule="exact"/>
            </w:pPr>
            <w:r>
              <w:rPr>
                <w:b w:val="0"/>
                <w:sz w:val="20"/>
              </w:rPr>
              <w:t>新增账户、重连、重复回调不重复奖励。</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触发时点</w:t>
            </w:r>
          </w:p>
        </w:tc>
        <w:tc>
          <w:tcPr>
            <w:tcW w:type="dxa" w:w="3816"/>
            <w:vAlign w:val="center"/>
            <w:shd w:fill="F7F9FA"/>
            <w:tcMar>
              <w:top w:w="85" w:type="dxa"/>
              <w:bottom w:w="85" w:type="dxa"/>
              <w:left w:w="95" w:type="dxa"/>
              <w:right w:w="95" w:type="dxa"/>
            </w:tcMar>
          </w:tcPr>
          <w:p>
            <w:pPr>
              <w:spacing w:after="0" w:line="280" w:lineRule="exact"/>
            </w:pPr>
            <w:r>
              <w:rPr>
                <w:b w:val="0"/>
                <w:sz w:val="20"/>
              </w:rPr>
              <w:t>与“完成授权”的宣传条件一致，核验有效账户后处理。</w:t>
            </w:r>
          </w:p>
        </w:tc>
        <w:tc>
          <w:tcPr>
            <w:tcW w:type="dxa" w:w="4090"/>
            <w:vAlign w:val="center"/>
            <w:shd w:fill="F7F9FA"/>
            <w:tcMar>
              <w:top w:w="85" w:type="dxa"/>
              <w:bottom w:w="85" w:type="dxa"/>
              <w:left w:w="95" w:type="dxa"/>
              <w:right w:w="95" w:type="dxa"/>
            </w:tcMar>
          </w:tcPr>
          <w:p>
            <w:pPr>
              <w:spacing w:after="0" w:line="280" w:lineRule="exact"/>
            </w:pPr>
            <w:r>
              <w:rPr>
                <w:b w:val="0"/>
                <w:sz w:val="20"/>
              </w:rPr>
              <w:t>如改为首次同步完成奖励，须同步修改活动文案。</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数据同步</w:t>
            </w:r>
          </w:p>
        </w:tc>
        <w:tc>
          <w:tcPr>
            <w:tcW w:type="dxa" w:w="3816"/>
            <w:vAlign w:val="center"/>
            <w:shd w:fill="FFFFFF"/>
            <w:tcMar>
              <w:top w:w="85" w:type="dxa"/>
              <w:bottom w:w="85" w:type="dxa"/>
              <w:left w:w="95" w:type="dxa"/>
              <w:right w:w="95" w:type="dxa"/>
            </w:tcMar>
          </w:tcPr>
          <w:p>
            <w:pPr>
              <w:spacing w:after="0" w:line="280" w:lineRule="exact"/>
            </w:pPr>
            <w:r>
              <w:rPr>
                <w:b w:val="0"/>
                <w:sz w:val="20"/>
              </w:rPr>
              <w:t>奖励状态与同步状态独立。</w:t>
            </w:r>
          </w:p>
        </w:tc>
        <w:tc>
          <w:tcPr>
            <w:tcW w:type="dxa" w:w="4090"/>
            <w:vAlign w:val="center"/>
            <w:shd w:fill="FFFFFF"/>
            <w:tcMar>
              <w:top w:w="85" w:type="dxa"/>
              <w:bottom w:w="85" w:type="dxa"/>
              <w:left w:w="95" w:type="dxa"/>
              <w:right w:w="95" w:type="dxa"/>
            </w:tcMar>
          </w:tcPr>
          <w:p>
            <w:pPr>
              <w:spacing w:after="0" w:line="280" w:lineRule="exact"/>
            </w:pPr>
            <w:r>
              <w:rPr>
                <w:b w:val="0"/>
                <w:sz w:val="20"/>
              </w:rPr>
              <w:t>同步失败不显示为授权失败，积分发放不代表数据已就绪。</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展示结果</w:t>
            </w:r>
          </w:p>
        </w:tc>
        <w:tc>
          <w:tcPr>
            <w:tcW w:type="dxa" w:w="3816"/>
            <w:vAlign w:val="center"/>
            <w:shd w:fill="F7F9FA"/>
            <w:tcMar>
              <w:top w:w="85" w:type="dxa"/>
              <w:bottom w:w="85" w:type="dxa"/>
              <w:left w:w="95" w:type="dxa"/>
              <w:right w:w="95" w:type="dxa"/>
            </w:tcMar>
          </w:tcPr>
          <w:p>
            <w:pPr>
              <w:spacing w:after="0" w:line="280" w:lineRule="exact"/>
            </w:pPr>
            <w:r>
              <w:rPr>
                <w:b w:val="0"/>
                <w:sz w:val="20"/>
              </w:rPr>
              <w:t>发放成功、待处理、资格不符分别说明。</w:t>
            </w:r>
          </w:p>
        </w:tc>
        <w:tc>
          <w:tcPr>
            <w:tcW w:type="dxa" w:w="4090"/>
            <w:vAlign w:val="center"/>
            <w:shd w:fill="F7F9FA"/>
            <w:tcMar>
              <w:top w:w="85" w:type="dxa"/>
              <w:bottom w:w="85" w:type="dxa"/>
              <w:left w:w="95" w:type="dxa"/>
              <w:right w:w="95" w:type="dxa"/>
            </w:tcMar>
          </w:tcPr>
          <w:p>
            <w:pPr>
              <w:spacing w:after="0" w:line="280" w:lineRule="exact"/>
            </w:pPr>
            <w:r>
              <w:rPr>
                <w:b w:val="0"/>
                <w:sz w:val="20"/>
              </w:rPr>
              <w:t>发放异常进入可查询记录，避免用户反复授权。</w:t>
            </w:r>
          </w:p>
        </w:tc>
      </w:tr>
    </w:tbl>
    <w:p>
      <w:pPr>
        <w:spacing w:after="20" w:before="0" w:line="240" w:lineRule="auto"/>
      </w:pPr>
      <w:r>
        <w:rPr>
          <w:sz w:val="4"/>
        </w:rPr>
      </w:r>
    </w:p>
    <w:p>
      <w:pPr>
        <w:pStyle w:val="Heading2"/>
      </w:pPr>
      <w:r>
        <w:t>运营后台需要支持的排查信息</w:t>
      </w:r>
    </w:p>
    <w:p>
      <w:r>
        <w:rPr>
          <w:b w:val="0"/>
        </w:rPr>
        <w:t>以工作空间、账户名称和用户可见状态定位问题，查看授权是否有效、同步是否启用、最近成功时间、失败类别和当前报表覆盖。记录用户从哪一个入口开始连接、在哪一步中断，以及是否恢复成功。</w:t>
      </w:r>
    </w:p>
    <w:p>
      <w:r>
        <w:rPr>
          <w:b w:val="0"/>
        </w:rPr>
        <w:t>后台只对具备权限的人员展示必要信息。客服获得的是“账户无权限”“连接已失效”“同步未完成”等可解释原因，不将令牌、原始授权内容或技术报错直接展示给商家。</w:t>
      </w:r>
    </w:p>
    <w:p>
      <w:pPr>
        <w:pStyle w:val="Heading2"/>
      </w:pPr>
      <w:r>
        <w:t>帮助内容与物料准备</w:t>
      </w:r>
    </w:p>
    <w:p>
      <w:r>
        <w:rPr>
          <w:b w:val="0"/>
        </w:rPr>
        <w:t>准备一页接入说明，包含接入前需要的角色、如何选择正确账户、如何识别店铺范围、同步完成后能看到什么。准备各状态的文案与按钮清单、连接失败恢复说明、800积分活动规则，以及已脱敏的典型样例。能力限制由产品核验后写成明确说明，不把内部研发计划放入用户流程。</w:t>
      </w:r>
    </w:p>
    <w:p>
      <w:pPr>
        <w:pStyle w:val="Heading1"/>
        <w:pageBreakBefore/>
      </w:pPr>
      <w:r>
        <w:t>12 有数据状态的口径与诊断修正</w:t>
      </w:r>
    </w:p>
    <w:p>
      <w:r>
        <w:rPr>
          <w:b w:val="0"/>
        </w:rPr>
        <w:t>本轮空状态改造应同时保留前轮有数据评审的结论，避免接入后仍遇到不可解释的指标与分类。</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问题</w:t>
            </w:r>
          </w:p>
        </w:tc>
        <w:tc>
          <w:tcPr>
            <w:tcW w:type="dxa" w:w="3816"/>
            <w:vAlign w:val="center"/>
            <w:shd w:fill="E9EFF2"/>
            <w:tcMar>
              <w:top w:w="85" w:type="dxa"/>
              <w:bottom w:w="85" w:type="dxa"/>
              <w:left w:w="95" w:type="dxa"/>
              <w:right w:w="95" w:type="dxa"/>
            </w:tcMar>
          </w:tcPr>
          <w:p>
            <w:pPr>
              <w:spacing w:after="0" w:line="280" w:lineRule="exact"/>
            </w:pPr>
            <w:r>
              <w:rPr>
                <w:b/>
                <w:sz w:val="20"/>
              </w:rPr>
              <w:t>原因与影响</w:t>
            </w:r>
          </w:p>
        </w:tc>
        <w:tc>
          <w:tcPr>
            <w:tcW w:type="dxa" w:w="4090"/>
            <w:vAlign w:val="center"/>
            <w:shd w:fill="E9EFF2"/>
            <w:tcMar>
              <w:top w:w="85" w:type="dxa"/>
              <w:bottom w:w="85" w:type="dxa"/>
              <w:left w:w="95" w:type="dxa"/>
              <w:right w:w="95" w:type="dxa"/>
            </w:tcMar>
          </w:tcPr>
          <w:p>
            <w:pPr>
              <w:spacing w:after="0" w:line="280" w:lineRule="exact"/>
            </w:pPr>
            <w:r>
              <w:rPr>
                <w:b/>
                <w:sz w:val="20"/>
              </w:rPr>
              <w:t>修正规则</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同范围花费相同，点击和订单不同</w:t>
            </w:r>
          </w:p>
        </w:tc>
        <w:tc>
          <w:tcPr>
            <w:tcW w:type="dxa" w:w="3816"/>
            <w:vAlign w:val="center"/>
            <w:shd w:fill="FFFFFF"/>
            <w:tcMar>
              <w:top w:w="85" w:type="dxa"/>
              <w:bottom w:w="85" w:type="dxa"/>
              <w:left w:w="95" w:type="dxa"/>
              <w:right w:w="95" w:type="dxa"/>
            </w:tcMar>
          </w:tcPr>
          <w:p>
            <w:pPr>
              <w:spacing w:after="0" w:line="280" w:lineRule="exact"/>
            </w:pPr>
            <w:r>
              <w:rPr>
                <w:b w:val="0"/>
                <w:sz w:val="20"/>
              </w:rPr>
              <w:t>用户无法判断是否统计错误。</w:t>
            </w:r>
          </w:p>
        </w:tc>
        <w:tc>
          <w:tcPr>
            <w:tcW w:type="dxa" w:w="4090"/>
            <w:vAlign w:val="center"/>
            <w:shd w:fill="FFFFFF"/>
            <w:tcMar>
              <w:top w:w="85" w:type="dxa"/>
              <w:bottom w:w="85" w:type="dxa"/>
              <w:left w:w="95" w:type="dxa"/>
              <w:right w:w="95" w:type="dxa"/>
            </w:tcMar>
          </w:tcPr>
          <w:p>
            <w:pPr>
              <w:spacing w:after="0" w:line="280" w:lineRule="exact"/>
            </w:pPr>
            <w:r>
              <w:rPr>
                <w:b w:val="0"/>
                <w:sz w:val="20"/>
              </w:rPr>
              <w:t>对齐范围、日期和更新时间；区分字段缺失与真实0。</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82或85分对应优质，但无有效消耗</w:t>
            </w:r>
          </w:p>
        </w:tc>
        <w:tc>
          <w:tcPr>
            <w:tcW w:type="dxa" w:w="3816"/>
            <w:vAlign w:val="center"/>
            <w:shd w:fill="F7F9FA"/>
            <w:tcMar>
              <w:top w:w="85" w:type="dxa"/>
              <w:bottom w:w="85" w:type="dxa"/>
              <w:left w:w="95" w:type="dxa"/>
              <w:right w:w="95" w:type="dxa"/>
            </w:tcMar>
          </w:tcPr>
          <w:p>
            <w:pPr>
              <w:spacing w:after="0" w:line="280" w:lineRule="exact"/>
            </w:pPr>
            <w:r>
              <w:rPr>
                <w:b w:val="0"/>
                <w:sz w:val="20"/>
              </w:rPr>
              <w:t>内容结构与投放结果混用。</w:t>
            </w:r>
          </w:p>
        </w:tc>
        <w:tc>
          <w:tcPr>
            <w:tcW w:type="dxa" w:w="4090"/>
            <w:vAlign w:val="center"/>
            <w:shd w:fill="F7F9FA"/>
            <w:tcMar>
              <w:top w:w="85" w:type="dxa"/>
              <w:bottom w:w="85" w:type="dxa"/>
              <w:left w:w="95" w:type="dxa"/>
              <w:right w:w="95" w:type="dxa"/>
            </w:tcMar>
          </w:tcPr>
          <w:p>
            <w:pPr>
              <w:spacing w:after="0" w:line="280" w:lineRule="exact"/>
            </w:pPr>
            <w:r>
              <w:rPr>
                <w:b w:val="0"/>
                <w:sz w:val="20"/>
              </w:rPr>
              <w:t>分开展示结构观察和投放证据，不输出未经验证的优质结论。</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衰退素材占比极高</w:t>
            </w:r>
          </w:p>
        </w:tc>
        <w:tc>
          <w:tcPr>
            <w:tcW w:type="dxa" w:w="3816"/>
            <w:vAlign w:val="center"/>
            <w:shd w:fill="FFFFFF"/>
            <w:tcMar>
              <w:top w:w="85" w:type="dxa"/>
              <w:bottom w:w="85" w:type="dxa"/>
              <w:left w:w="95" w:type="dxa"/>
              <w:right w:w="95" w:type="dxa"/>
            </w:tcMar>
          </w:tcPr>
          <w:p>
            <w:pPr>
              <w:spacing w:after="0" w:line="280" w:lineRule="exact"/>
            </w:pPr>
            <w:r>
              <w:rPr>
                <w:b w:val="0"/>
                <w:sz w:val="20"/>
              </w:rPr>
              <w:t>近期无记录可能被误当表现下滑。</w:t>
            </w:r>
          </w:p>
        </w:tc>
        <w:tc>
          <w:tcPr>
            <w:tcW w:type="dxa" w:w="4090"/>
            <w:vAlign w:val="center"/>
            <w:shd w:fill="FFFFFF"/>
            <w:tcMar>
              <w:top w:w="85" w:type="dxa"/>
              <w:bottom w:w="85" w:type="dxa"/>
              <w:left w:w="95" w:type="dxa"/>
              <w:right w:w="95" w:type="dxa"/>
            </w:tcMar>
          </w:tcPr>
          <w:p>
            <w:pPr>
              <w:spacing w:after="0" w:line="280" w:lineRule="exact"/>
            </w:pPr>
            <w:r>
              <w:rPr>
                <w:b w:val="0"/>
                <w:sz w:val="20"/>
              </w:rPr>
              <w:t>先确认历史有效表现，再判断趋势；无数据独立分类。</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仅1笔订单判为素材问题</w:t>
            </w:r>
          </w:p>
        </w:tc>
        <w:tc>
          <w:tcPr>
            <w:tcW w:type="dxa" w:w="3816"/>
            <w:vAlign w:val="center"/>
            <w:shd w:fill="F7F9FA"/>
            <w:tcMar>
              <w:top w:w="85" w:type="dxa"/>
              <w:bottom w:w="85" w:type="dxa"/>
              <w:left w:w="95" w:type="dxa"/>
              <w:right w:w="95" w:type="dxa"/>
            </w:tcMar>
          </w:tcPr>
          <w:p>
            <w:pPr>
              <w:spacing w:after="0" w:line="280" w:lineRule="exact"/>
            </w:pPr>
            <w:r>
              <w:rPr>
                <w:b w:val="0"/>
                <w:sz w:val="20"/>
              </w:rPr>
              <w:t>相关性被解释为原因。</w:t>
            </w:r>
          </w:p>
        </w:tc>
        <w:tc>
          <w:tcPr>
            <w:tcW w:type="dxa" w:w="4090"/>
            <w:vAlign w:val="center"/>
            <w:shd w:fill="F7F9FA"/>
            <w:tcMar>
              <w:top w:w="85" w:type="dxa"/>
              <w:bottom w:w="85" w:type="dxa"/>
              <w:left w:w="95" w:type="dxa"/>
              <w:right w:w="95" w:type="dxa"/>
            </w:tcMar>
          </w:tcPr>
          <w:p>
            <w:pPr>
              <w:spacing w:after="0" w:line="280" w:lineRule="exact"/>
            </w:pPr>
            <w:r>
              <w:rPr>
                <w:b w:val="0"/>
                <w:sz w:val="20"/>
              </w:rPr>
              <w:t>使用疑似问题，核查价格、库存、促销及流量变化。</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预计影响显示精确金额</w:t>
            </w:r>
          </w:p>
        </w:tc>
        <w:tc>
          <w:tcPr>
            <w:tcW w:type="dxa" w:w="3816"/>
            <w:vAlign w:val="center"/>
            <w:shd w:fill="FFFFFF"/>
            <w:tcMar>
              <w:top w:w="85" w:type="dxa"/>
              <w:bottom w:w="85" w:type="dxa"/>
              <w:left w:w="95" w:type="dxa"/>
              <w:right w:w="95" w:type="dxa"/>
            </w:tcMar>
          </w:tcPr>
          <w:p>
            <w:pPr>
              <w:spacing w:after="0" w:line="280" w:lineRule="exact"/>
            </w:pPr>
            <w:r>
              <w:rPr>
                <w:b w:val="0"/>
                <w:sz w:val="20"/>
              </w:rPr>
              <w:t>目标差额可能被包装成提升预测。</w:t>
            </w:r>
          </w:p>
        </w:tc>
        <w:tc>
          <w:tcPr>
            <w:tcW w:type="dxa" w:w="4090"/>
            <w:vAlign w:val="center"/>
            <w:shd w:fill="FFFFFF"/>
            <w:tcMar>
              <w:top w:w="85" w:type="dxa"/>
              <w:bottom w:w="85" w:type="dxa"/>
              <w:left w:w="95" w:type="dxa"/>
              <w:right w:w="95" w:type="dxa"/>
            </w:tcMar>
          </w:tcPr>
          <w:p>
            <w:pPr>
              <w:spacing w:after="0" w:line="280" w:lineRule="exact"/>
            </w:pPr>
            <w:r>
              <w:rPr>
                <w:b w:val="0"/>
                <w:sz w:val="20"/>
              </w:rPr>
              <w:t>目标差额按差额命名；无可靠预测依据时不显示可挽回金额。</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同商品基准来源不明</w:t>
            </w:r>
          </w:p>
        </w:tc>
        <w:tc>
          <w:tcPr>
            <w:tcW w:type="dxa" w:w="3816"/>
            <w:vAlign w:val="center"/>
            <w:shd w:fill="F7F9FA"/>
            <w:tcMar>
              <w:top w:w="85" w:type="dxa"/>
              <w:bottom w:w="85" w:type="dxa"/>
              <w:left w:w="95" w:type="dxa"/>
              <w:right w:w="95" w:type="dxa"/>
            </w:tcMar>
          </w:tcPr>
          <w:p>
            <w:pPr>
              <w:spacing w:after="0" w:line="280" w:lineRule="exact"/>
            </w:pPr>
            <w:r>
              <w:rPr>
                <w:b w:val="0"/>
                <w:sz w:val="20"/>
              </w:rPr>
              <w:t>未成熟素材可能互相充当基准。</w:t>
            </w:r>
          </w:p>
        </w:tc>
        <w:tc>
          <w:tcPr>
            <w:tcW w:type="dxa" w:w="4090"/>
            <w:vAlign w:val="center"/>
            <w:shd w:fill="F7F9FA"/>
            <w:tcMar>
              <w:top w:w="85" w:type="dxa"/>
              <w:bottom w:w="85" w:type="dxa"/>
              <w:left w:w="95" w:type="dxa"/>
              <w:right w:w="95" w:type="dxa"/>
            </w:tcMar>
          </w:tcPr>
          <w:p>
            <w:pPr>
              <w:spacing w:after="0" w:line="280" w:lineRule="exact"/>
            </w:pPr>
            <w:r>
              <w:rPr>
                <w:b w:val="0"/>
                <w:sz w:val="20"/>
              </w:rPr>
              <w:t>展示基准来源、样本量、日期；不足时停止比较。</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不同天数直接比较总额</w:t>
            </w:r>
          </w:p>
        </w:tc>
        <w:tc>
          <w:tcPr>
            <w:tcW w:type="dxa" w:w="3816"/>
            <w:vAlign w:val="center"/>
            <w:shd w:fill="FFFFFF"/>
            <w:tcMar>
              <w:top w:w="85" w:type="dxa"/>
              <w:bottom w:w="85" w:type="dxa"/>
              <w:left w:w="95" w:type="dxa"/>
              <w:right w:w="95" w:type="dxa"/>
            </w:tcMar>
          </w:tcPr>
          <w:p>
            <w:pPr>
              <w:spacing w:after="0" w:line="280" w:lineRule="exact"/>
            </w:pPr>
            <w:r>
              <w:rPr>
                <w:b w:val="0"/>
                <w:sz w:val="20"/>
              </w:rPr>
              <w:t>周期长度导致虚假的衰减。</w:t>
            </w:r>
          </w:p>
        </w:tc>
        <w:tc>
          <w:tcPr>
            <w:tcW w:type="dxa" w:w="4090"/>
            <w:vAlign w:val="center"/>
            <w:shd w:fill="FFFFFF"/>
            <w:tcMar>
              <w:top w:w="85" w:type="dxa"/>
              <w:bottom w:w="85" w:type="dxa"/>
              <w:left w:w="95" w:type="dxa"/>
              <w:right w:w="95" w:type="dxa"/>
            </w:tcMar>
          </w:tcPr>
          <w:p>
            <w:pPr>
              <w:spacing w:after="0" w:line="280" w:lineRule="exact"/>
            </w:pPr>
            <w:r>
              <w:rPr>
                <w:b w:val="0"/>
                <w:sz w:val="20"/>
              </w:rPr>
              <w:t>使用可比周期或明确日均口径，比率按有效分母汇总。</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多标签花费排行被当效果排行</w:t>
            </w:r>
          </w:p>
        </w:tc>
        <w:tc>
          <w:tcPr>
            <w:tcW w:type="dxa" w:w="3816"/>
            <w:vAlign w:val="center"/>
            <w:shd w:fill="F7F9FA"/>
            <w:tcMar>
              <w:top w:w="85" w:type="dxa"/>
              <w:bottom w:w="85" w:type="dxa"/>
              <w:left w:w="95" w:type="dxa"/>
              <w:right w:w="95" w:type="dxa"/>
            </w:tcMar>
          </w:tcPr>
          <w:p>
            <w:pPr>
              <w:spacing w:after="0" w:line="280" w:lineRule="exact"/>
            </w:pPr>
            <w:r>
              <w:rPr>
                <w:b w:val="0"/>
                <w:sz w:val="20"/>
              </w:rPr>
              <w:t>同一素材可属于多个标签，跨商品也不可直接推断优劣。</w:t>
            </w:r>
          </w:p>
        </w:tc>
        <w:tc>
          <w:tcPr>
            <w:tcW w:type="dxa" w:w="4090"/>
            <w:vAlign w:val="center"/>
            <w:shd w:fill="F7F9FA"/>
            <w:tcMar>
              <w:top w:w="85" w:type="dxa"/>
              <w:bottom w:w="85" w:type="dxa"/>
              <w:left w:w="95" w:type="dxa"/>
              <w:right w:w="95" w:type="dxa"/>
            </w:tcMar>
          </w:tcPr>
          <w:p>
            <w:pPr>
              <w:spacing w:after="0" w:line="280" w:lineRule="exact"/>
            </w:pPr>
            <w:r>
              <w:rPr>
                <w:b w:val="0"/>
                <w:sz w:val="20"/>
              </w:rPr>
              <w:t>注明不可直接相加，优先在同商品条件下复盘。</w:t>
            </w:r>
          </w:p>
        </w:tc>
      </w:tr>
    </w:tbl>
    <w:p>
      <w:pPr>
        <w:spacing w:after="20" w:before="0" w:line="240" w:lineRule="auto"/>
      </w:pPr>
      <w:r>
        <w:rPr>
          <w:sz w:val="4"/>
        </w:rPr>
      </w:r>
    </w:p>
    <w:p>
      <w:pPr>
        <w:pStyle w:val="Heading2"/>
      </w:pPr>
      <w:r>
        <w:t>GMV Max口径说明</w:t>
      </w:r>
    </w:p>
    <w:p>
      <w:r>
        <w:rPr>
          <w:b w:val="0"/>
        </w:rPr>
        <w:t>Product GMV Max会将活动运行期间所选商品的付费与自然订单纳入归因。因此，经营总览的归因成交与付费点击指标不能直接拼成同一种付费转化漏斗。此规则依据TikTok官方归因说明。[S1]</w:t>
      </w:r>
    </w:p>
    <w:p>
      <w:r>
        <w:rPr>
          <w:b w:val="0"/>
        </w:rPr>
        <w:t>ROI与CPO需按平台口径结合成交贡献理解。单独的低ROI或高消耗不足以证明素材失败；产品应展示证据和业务情境，再提出待验证的改版方向。此建议与TikTok官方素材评价说明一致。[S2]</w:t>
      </w:r>
    </w:p>
    <w:p>
      <w:pPr>
        <w:pStyle w:val="Heading2"/>
      </w:pPr>
      <w:r>
        <w:t>数据范围提示</w:t>
      </w:r>
    </w:p>
    <w:p>
      <w:r>
        <w:rPr>
          <w:b w:val="0"/>
        </w:rPr>
        <w:t>页面用短文案说明“当前范围、可用时间、是否含自然归因、哪些指标未提供”。完整口径按需展开，避免将报表字段、计算参数或内部权重铺在主界面。</w:t>
      </w:r>
    </w:p>
    <w:p>
      <w:pPr>
        <w:pStyle w:val="Heading1"/>
        <w:pageBreakBefore/>
      </w:pPr>
      <w:r>
        <w:t>13 角色场景与任务交接</w:t>
      </w:r>
    </w:p>
    <w:p>
      <w:pPr>
        <w:pStyle w:val="Heading2"/>
      </w:pPr>
      <w:r>
        <w:t>场景一 新商家首次进入</w:t>
      </w:r>
    </w:p>
    <w:p>
      <w:r>
        <w:rPr>
          <w:b w:val="0"/>
        </w:rPr>
        <w:t>商家进入素材洞察，第一屏看到连接价值和主按钮。完成平台授权后选择需要分析的账户并开始同步。同步完成后进入有真实数据的经营总览；若当前周期没有记录，则直接查看最近有数据的周期。整个过程不需要自己找到设置中的开关。</w:t>
      </w:r>
    </w:p>
    <w:p>
      <w:pPr>
        <w:pStyle w:val="Heading2"/>
      </w:pPr>
      <w:r>
        <w:t>场景二 已连接账户但数据突然空了</w:t>
      </w:r>
    </w:p>
    <w:p>
      <w:r>
        <w:rPr>
          <w:b w:val="0"/>
        </w:rPr>
        <w:t>运营进入后发现单个账户连接失效。页面继续展示其他账户的有效数据，并明确失效账户未纳入当前汇总。点击“重新连接”完成恢复，回到原来的商品与日期范围，不重复建立账户记录。</w:t>
      </w:r>
    </w:p>
    <w:p>
      <w:pPr>
        <w:pStyle w:val="Heading2"/>
      </w:pPr>
      <w:r>
        <w:t>场景三 新素材消耗少且未出单</w:t>
      </w:r>
    </w:p>
    <w:p>
      <w:r>
        <w:rPr>
          <w:b w:val="0"/>
        </w:rPr>
        <w:t>素材详情展示已经发生的消耗和观测情况，说明当前证据不足。运营检查商品和投放条件，系统列出复核条件。达到测试预算边界时进入人工复核；在此之前不同时贴上健康、疲劳和建议关停标签。</w:t>
      </w:r>
    </w:p>
    <w:p>
      <w:pPr>
        <w:pStyle w:val="Heading2"/>
      </w:pPr>
      <w:r>
        <w:t>场景四 运营安排设计师改版</w:t>
      </w:r>
    </w:p>
    <w:p>
      <w:r>
        <w:rPr>
          <w:b w:val="0"/>
        </w:rPr>
        <w:t>运营从一个具体商品进入素材详情，核对数据与原视频，选择一个主要改版假设。任务包含原素材、问题证据、保留项、修改片段、商品资料、负责人和交付要求。设计师无需阅读全部经营报表，也不需要拥有账户授权权限。</w:t>
      </w:r>
    </w:p>
    <w:p>
      <w:pPr>
        <w:pStyle w:val="Heading2"/>
      </w:pPr>
      <w:r>
        <w:t>改版任务示例</w:t>
      </w:r>
    </w:p>
    <w:p>
      <w:r>
        <w:rPr>
          <w:b w:val="0"/>
        </w:rPr>
        <w:t>任务目标：验证更早出现商品能否改善开头的观看与点击表现。修改要求：根据原视频检查结果调整开头表达，保留商品、主体演示和优惠说明。交付要求：一个新版本及修改说明。复盘要求：上线后在相近业务条件下对比，证据不足时不宣布改版成功。</w:t>
      </w:r>
    </w:p>
    <w:p>
      <w:pPr>
        <w:pStyle w:val="Heading2"/>
      </w:pPr>
      <w:r>
        <w:t>角色分工</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角色</w:t>
            </w:r>
          </w:p>
        </w:tc>
        <w:tc>
          <w:tcPr>
            <w:tcW w:type="dxa" w:w="3816"/>
            <w:vAlign w:val="center"/>
            <w:shd w:fill="E9EFF2"/>
            <w:tcMar>
              <w:top w:w="85" w:type="dxa"/>
              <w:bottom w:w="85" w:type="dxa"/>
              <w:left w:w="95" w:type="dxa"/>
              <w:right w:w="95" w:type="dxa"/>
            </w:tcMar>
          </w:tcPr>
          <w:p>
            <w:pPr>
              <w:spacing w:after="0" w:line="280" w:lineRule="exact"/>
            </w:pPr>
            <w:r>
              <w:rPr>
                <w:b/>
                <w:sz w:val="20"/>
              </w:rPr>
              <w:t>主要负责</w:t>
            </w:r>
          </w:p>
        </w:tc>
        <w:tc>
          <w:tcPr>
            <w:tcW w:type="dxa" w:w="4090"/>
            <w:vAlign w:val="center"/>
            <w:shd w:fill="E9EFF2"/>
            <w:tcMar>
              <w:top w:w="85" w:type="dxa"/>
              <w:bottom w:w="85" w:type="dxa"/>
              <w:left w:w="95" w:type="dxa"/>
              <w:right w:w="95" w:type="dxa"/>
            </w:tcMar>
          </w:tcPr>
          <w:p>
            <w:pPr>
              <w:spacing w:after="0" w:line="280" w:lineRule="exact"/>
            </w:pPr>
            <w:r>
              <w:rPr>
                <w:b/>
                <w:sz w:val="20"/>
              </w:rPr>
              <w:t>不应被迫承担</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管理员或接入负责人</w:t>
            </w:r>
          </w:p>
        </w:tc>
        <w:tc>
          <w:tcPr>
            <w:tcW w:type="dxa" w:w="3816"/>
            <w:vAlign w:val="center"/>
            <w:shd w:fill="FFFFFF"/>
            <w:tcMar>
              <w:top w:w="85" w:type="dxa"/>
              <w:bottom w:w="85" w:type="dxa"/>
              <w:left w:w="95" w:type="dxa"/>
              <w:right w:w="95" w:type="dxa"/>
            </w:tcMar>
          </w:tcPr>
          <w:p>
            <w:pPr>
              <w:spacing w:after="0" w:line="280" w:lineRule="exact"/>
            </w:pPr>
            <w:r>
              <w:rPr>
                <w:b w:val="0"/>
                <w:sz w:val="20"/>
              </w:rPr>
              <w:t>账户选择、授权、同步范围和异常恢复</w:t>
            </w:r>
          </w:p>
        </w:tc>
        <w:tc>
          <w:tcPr>
            <w:tcW w:type="dxa" w:w="4090"/>
            <w:vAlign w:val="center"/>
            <w:shd w:fill="FFFFFF"/>
            <w:tcMar>
              <w:top w:w="85" w:type="dxa"/>
              <w:bottom w:w="85" w:type="dxa"/>
              <w:left w:w="95" w:type="dxa"/>
              <w:right w:w="95" w:type="dxa"/>
            </w:tcMar>
          </w:tcPr>
          <w:p>
            <w:pPr>
              <w:spacing w:after="0" w:line="280" w:lineRule="exact"/>
            </w:pPr>
            <w:r>
              <w:rPr>
                <w:b w:val="0"/>
                <w:sz w:val="20"/>
              </w:rPr>
              <w:t>逐条解释设计修改细节。</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投手或运营</w:t>
            </w:r>
          </w:p>
        </w:tc>
        <w:tc>
          <w:tcPr>
            <w:tcW w:type="dxa" w:w="3816"/>
            <w:vAlign w:val="center"/>
            <w:shd w:fill="F7F9FA"/>
            <w:tcMar>
              <w:top w:w="85" w:type="dxa"/>
              <w:bottom w:w="85" w:type="dxa"/>
              <w:left w:w="95" w:type="dxa"/>
              <w:right w:w="95" w:type="dxa"/>
            </w:tcMar>
          </w:tcPr>
          <w:p>
            <w:pPr>
              <w:spacing w:after="0" w:line="280" w:lineRule="exact"/>
            </w:pPr>
            <w:r>
              <w:rPr>
                <w:b w:val="0"/>
                <w:sz w:val="20"/>
              </w:rPr>
              <w:t>判断经营影响、确认诊断、安排测试和复盘</w:t>
            </w:r>
          </w:p>
        </w:tc>
        <w:tc>
          <w:tcPr>
            <w:tcW w:type="dxa" w:w="4090"/>
            <w:vAlign w:val="center"/>
            <w:shd w:fill="F7F9FA"/>
            <w:tcMar>
              <w:top w:w="85" w:type="dxa"/>
              <w:bottom w:w="85" w:type="dxa"/>
              <w:left w:w="95" w:type="dxa"/>
              <w:right w:w="95" w:type="dxa"/>
            </w:tcMar>
          </w:tcPr>
          <w:p>
            <w:pPr>
              <w:spacing w:after="0" w:line="280" w:lineRule="exact"/>
            </w:pPr>
            <w:r>
              <w:rPr>
                <w:b w:val="0"/>
                <w:sz w:val="20"/>
              </w:rPr>
              <w:t>复制内部ID、解释技术报错。</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设计师或剪辑师</w:t>
            </w:r>
          </w:p>
        </w:tc>
        <w:tc>
          <w:tcPr>
            <w:tcW w:type="dxa" w:w="3816"/>
            <w:vAlign w:val="center"/>
            <w:shd w:fill="FFFFFF"/>
            <w:tcMar>
              <w:top w:w="85" w:type="dxa"/>
              <w:bottom w:w="85" w:type="dxa"/>
              <w:left w:w="95" w:type="dxa"/>
              <w:right w:w="95" w:type="dxa"/>
            </w:tcMar>
          </w:tcPr>
          <w:p>
            <w:pPr>
              <w:spacing w:after="0" w:line="280" w:lineRule="exact"/>
            </w:pPr>
            <w:r>
              <w:rPr>
                <w:b w:val="0"/>
                <w:sz w:val="20"/>
              </w:rPr>
              <w:t>查看原片、理解改动、交付版本</w:t>
            </w:r>
          </w:p>
        </w:tc>
        <w:tc>
          <w:tcPr>
            <w:tcW w:type="dxa" w:w="4090"/>
            <w:vAlign w:val="center"/>
            <w:shd w:fill="FFFFFF"/>
            <w:tcMar>
              <w:top w:w="85" w:type="dxa"/>
              <w:bottom w:w="85" w:type="dxa"/>
              <w:left w:w="95" w:type="dxa"/>
              <w:right w:w="95" w:type="dxa"/>
            </w:tcMar>
          </w:tcPr>
          <w:p>
            <w:pPr>
              <w:spacing w:after="0" w:line="280" w:lineRule="exact"/>
            </w:pPr>
            <w:r>
              <w:rPr>
                <w:b w:val="0"/>
                <w:sz w:val="20"/>
              </w:rPr>
              <w:t>独立授权广告账户、猜测报表口径。</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产品与客服</w:t>
            </w:r>
          </w:p>
        </w:tc>
        <w:tc>
          <w:tcPr>
            <w:tcW w:type="dxa" w:w="3816"/>
            <w:vAlign w:val="center"/>
            <w:shd w:fill="F7F9FA"/>
            <w:tcMar>
              <w:top w:w="85" w:type="dxa"/>
              <w:bottom w:w="85" w:type="dxa"/>
              <w:left w:w="95" w:type="dxa"/>
              <w:right w:w="95" w:type="dxa"/>
            </w:tcMar>
          </w:tcPr>
          <w:p>
            <w:pPr>
              <w:spacing w:after="0" w:line="280" w:lineRule="exact"/>
            </w:pPr>
            <w:r>
              <w:rPr>
                <w:b w:val="0"/>
                <w:sz w:val="20"/>
              </w:rPr>
              <w:t>维护状态、文案、规则及恢复指引</w:t>
            </w:r>
          </w:p>
        </w:tc>
        <w:tc>
          <w:tcPr>
            <w:tcW w:type="dxa" w:w="4090"/>
            <w:vAlign w:val="center"/>
            <w:shd w:fill="F7F9FA"/>
            <w:tcMar>
              <w:top w:w="85" w:type="dxa"/>
              <w:bottom w:w="85" w:type="dxa"/>
              <w:left w:w="95" w:type="dxa"/>
              <w:right w:w="95" w:type="dxa"/>
            </w:tcMar>
          </w:tcPr>
          <w:p>
            <w:pPr>
              <w:spacing w:after="0" w:line="280" w:lineRule="exact"/>
            </w:pPr>
            <w:r>
              <w:rPr>
                <w:b w:val="0"/>
                <w:sz w:val="20"/>
              </w:rPr>
              <w:t>将未上线功能解释为用户操作错误。</w:t>
            </w:r>
          </w:p>
        </w:tc>
      </w:tr>
    </w:tbl>
    <w:p>
      <w:pPr>
        <w:spacing w:after="20" w:before="0" w:line="240" w:lineRule="auto"/>
      </w:pPr>
      <w:r>
        <w:rPr>
          <w:sz w:val="4"/>
        </w:rPr>
      </w:r>
    </w:p>
    <w:p>
      <w:pPr>
        <w:pStyle w:val="Heading1"/>
        <w:pageBreakBefore/>
      </w:pPr>
      <w:r>
        <w:t>14 分阶段实施与效果衡量</w:t>
      </w:r>
    </w:p>
    <w:p>
      <w:pPr>
        <w:pStyle w:val="Heading2"/>
      </w:pPr>
      <w:r>
        <w:t>P0 接入与可信度</w:t>
      </w:r>
    </w:p>
    <w:p>
      <w:r>
        <w:rPr>
          <w:b w:val="0"/>
        </w:rPr>
        <w:t>完成场景内连接入口、账户选择与同步衔接、统一空状态、授权失效恢复；修正无数据时的正常和供给不足结论；修正0与缺失值、同范围报表不一致、低样本强诊断。旧数据和部分失败的展示规则同阶段落地。</w:t>
      </w:r>
    </w:p>
    <w:p>
      <w:pPr>
        <w:pStyle w:val="Heading2"/>
      </w:pPr>
      <w:r>
        <w:t>P1 导航与日常工作</w:t>
      </w:r>
    </w:p>
    <w:p>
      <w:r>
        <w:rPr>
          <w:b w:val="0"/>
        </w:rPr>
        <w:t>合并两套总览和两套素材列表，将疲劳放入筛选和详情；隐藏未上线页签；完善名称与封面、基准说明、问题队列与任务衔接。数据源管理支持单账户状态和直接返回洞察。</w:t>
      </w:r>
    </w:p>
    <w:p>
      <w:pPr>
        <w:pStyle w:val="Heading2"/>
      </w:pPr>
      <w:r>
        <w:t>P2 增强能力</w:t>
      </w:r>
    </w:p>
    <w:p>
      <w:r>
        <w:rPr>
          <w:b w:val="0"/>
        </w:rPr>
        <w:t>在基础数据和任务链路验证后，再增加明确标注的示例报告、创意复盘、批量任务操作，以及平台实际支持的投放动作。该阶段不能反过来阻塞基本接入和只读诊断。</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90"/>
      </w:tblGrid>
      <w:tr>
        <w:trPr>
          <w:cantSplit/>
          <w:tblHeader/>
        </w:trPr>
        <w:tc>
          <w:tcPr>
            <w:tcW w:type="dxa" w:w="2376"/>
            <w:vAlign w:val="center"/>
            <w:shd w:fill="E9EFF2"/>
            <w:tcMar>
              <w:top w:w="85" w:type="dxa"/>
              <w:bottom w:w="85" w:type="dxa"/>
              <w:left w:w="95" w:type="dxa"/>
              <w:right w:w="95" w:type="dxa"/>
            </w:tcMar>
          </w:tcPr>
          <w:p>
            <w:pPr>
              <w:spacing w:after="0" w:line="280" w:lineRule="exact"/>
            </w:pPr>
            <w:r>
              <w:rPr>
                <w:b/>
                <w:sz w:val="20"/>
              </w:rPr>
              <w:t>衡量目标</w:t>
            </w:r>
          </w:p>
        </w:tc>
        <w:tc>
          <w:tcPr>
            <w:tcW w:type="dxa" w:w="3816"/>
            <w:vAlign w:val="center"/>
            <w:shd w:fill="E9EFF2"/>
            <w:tcMar>
              <w:top w:w="85" w:type="dxa"/>
              <w:bottom w:w="85" w:type="dxa"/>
              <w:left w:w="95" w:type="dxa"/>
              <w:right w:w="95" w:type="dxa"/>
            </w:tcMar>
          </w:tcPr>
          <w:p>
            <w:pPr>
              <w:spacing w:after="0" w:line="280" w:lineRule="exact"/>
            </w:pPr>
            <w:r>
              <w:rPr>
                <w:b/>
                <w:sz w:val="20"/>
              </w:rPr>
              <w:t>事件与计算口径</w:t>
            </w:r>
          </w:p>
        </w:tc>
        <w:tc>
          <w:tcPr>
            <w:tcW w:type="dxa" w:w="4090"/>
            <w:vAlign w:val="center"/>
            <w:shd w:fill="E9EFF2"/>
            <w:tcMar>
              <w:top w:w="85" w:type="dxa"/>
              <w:bottom w:w="85" w:type="dxa"/>
              <w:left w:w="95" w:type="dxa"/>
              <w:right w:w="95" w:type="dxa"/>
            </w:tcMar>
          </w:tcPr>
          <w:p>
            <w:pPr>
              <w:spacing w:after="0" w:line="280" w:lineRule="exact"/>
            </w:pPr>
            <w:r>
              <w:rPr>
                <w:b/>
                <w:sz w:val="20"/>
              </w:rPr>
              <w:t>观察重点</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用户找到接入入口</w:t>
            </w:r>
          </w:p>
        </w:tc>
        <w:tc>
          <w:tcPr>
            <w:tcW w:type="dxa" w:w="3816"/>
            <w:vAlign w:val="center"/>
            <w:shd w:fill="FFFFFF"/>
            <w:tcMar>
              <w:top w:w="85" w:type="dxa"/>
              <w:bottom w:w="85" w:type="dxa"/>
              <w:left w:w="95" w:type="dxa"/>
              <w:right w:w="95" w:type="dxa"/>
            </w:tcMar>
          </w:tcPr>
          <w:p>
            <w:pPr>
              <w:spacing w:after="0" w:line="280" w:lineRule="exact"/>
            </w:pPr>
            <w:r>
              <w:rPr>
                <w:b w:val="0"/>
                <w:sz w:val="20"/>
              </w:rPr>
              <w:t>未接入用户进入洞察、点击连接</w:t>
            </w:r>
          </w:p>
        </w:tc>
        <w:tc>
          <w:tcPr>
            <w:tcW w:type="dxa" w:w="4090"/>
            <w:vAlign w:val="center"/>
            <w:shd w:fill="FFFFFF"/>
            <w:tcMar>
              <w:top w:w="85" w:type="dxa"/>
              <w:bottom w:w="85" w:type="dxa"/>
              <w:left w:w="95" w:type="dxa"/>
              <w:right w:w="95" w:type="dxa"/>
            </w:tcMar>
          </w:tcPr>
          <w:p>
            <w:pPr>
              <w:spacing w:after="0" w:line="280" w:lineRule="exact"/>
            </w:pPr>
            <w:r>
              <w:rPr>
                <w:b w:val="0"/>
                <w:sz w:val="20"/>
              </w:rPr>
              <w:t>入口曝光到点击的转化，按入口区分。</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接入流程完成</w:t>
            </w:r>
          </w:p>
        </w:tc>
        <w:tc>
          <w:tcPr>
            <w:tcW w:type="dxa" w:w="3816"/>
            <w:vAlign w:val="center"/>
            <w:shd w:fill="F7F9FA"/>
            <w:tcMar>
              <w:top w:w="85" w:type="dxa"/>
              <w:bottom w:w="85" w:type="dxa"/>
              <w:left w:w="95" w:type="dxa"/>
              <w:right w:w="95" w:type="dxa"/>
            </w:tcMar>
          </w:tcPr>
          <w:p>
            <w:pPr>
              <w:spacing w:after="0" w:line="280" w:lineRule="exact"/>
            </w:pPr>
            <w:r>
              <w:rPr>
                <w:b w:val="0"/>
                <w:sz w:val="20"/>
              </w:rPr>
              <w:t>授权开始、返回、成功、取消、失败、账户选择完成</w:t>
            </w:r>
          </w:p>
        </w:tc>
        <w:tc>
          <w:tcPr>
            <w:tcW w:type="dxa" w:w="4090"/>
            <w:vAlign w:val="center"/>
            <w:shd w:fill="F7F9FA"/>
            <w:tcMar>
              <w:top w:w="85" w:type="dxa"/>
              <w:bottom w:w="85" w:type="dxa"/>
              <w:left w:w="95" w:type="dxa"/>
              <w:right w:w="95" w:type="dxa"/>
            </w:tcMar>
          </w:tcPr>
          <w:p>
            <w:pPr>
              <w:spacing w:after="0" w:line="280" w:lineRule="exact"/>
            </w:pPr>
            <w:r>
              <w:rPr>
                <w:b w:val="0"/>
                <w:sz w:val="20"/>
              </w:rPr>
              <w:t>成功授权人数除以开始授权人数，排除重复回调。</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数据实际可用</w:t>
            </w:r>
          </w:p>
        </w:tc>
        <w:tc>
          <w:tcPr>
            <w:tcW w:type="dxa" w:w="3816"/>
            <w:vAlign w:val="center"/>
            <w:shd w:fill="FFFFFF"/>
            <w:tcMar>
              <w:top w:w="85" w:type="dxa"/>
              <w:bottom w:w="85" w:type="dxa"/>
              <w:left w:w="95" w:type="dxa"/>
              <w:right w:w="95" w:type="dxa"/>
            </w:tcMar>
          </w:tcPr>
          <w:p>
            <w:pPr>
              <w:spacing w:after="0" w:line="280" w:lineRule="exact"/>
            </w:pPr>
            <w:r>
              <w:rPr>
                <w:b w:val="0"/>
                <w:sz w:val="20"/>
              </w:rPr>
              <w:t>同步开始、首次完成、部分成功、失败、首次查看真实数据</w:t>
            </w:r>
          </w:p>
        </w:tc>
        <w:tc>
          <w:tcPr>
            <w:tcW w:type="dxa" w:w="4090"/>
            <w:vAlign w:val="center"/>
            <w:shd w:fill="FFFFFF"/>
            <w:tcMar>
              <w:top w:w="85" w:type="dxa"/>
              <w:bottom w:w="85" w:type="dxa"/>
              <w:left w:w="95" w:type="dxa"/>
              <w:right w:w="95" w:type="dxa"/>
            </w:tcMar>
          </w:tcPr>
          <w:p>
            <w:pPr>
              <w:spacing w:after="0" w:line="280" w:lineRule="exact"/>
            </w:pPr>
            <w:r>
              <w:rPr>
                <w:b w:val="0"/>
                <w:sz w:val="20"/>
              </w:rPr>
              <w:t>同步完成与真实有记录分开，不能合并为接入成功。</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首次获得分析价值</w:t>
            </w:r>
          </w:p>
        </w:tc>
        <w:tc>
          <w:tcPr>
            <w:tcW w:type="dxa" w:w="3816"/>
            <w:vAlign w:val="center"/>
            <w:shd w:fill="F7F9FA"/>
            <w:tcMar>
              <w:top w:w="85" w:type="dxa"/>
              <w:bottom w:w="85" w:type="dxa"/>
              <w:left w:w="95" w:type="dxa"/>
              <w:right w:w="95" w:type="dxa"/>
            </w:tcMar>
          </w:tcPr>
          <w:p>
            <w:pPr>
              <w:spacing w:after="0" w:line="280" w:lineRule="exact"/>
            </w:pPr>
            <w:r>
              <w:rPr>
                <w:b w:val="0"/>
                <w:sz w:val="20"/>
              </w:rPr>
              <w:t>首次查看真实商品或素材详情、首次确认诊断</w:t>
            </w:r>
          </w:p>
        </w:tc>
        <w:tc>
          <w:tcPr>
            <w:tcW w:type="dxa" w:w="4090"/>
            <w:vAlign w:val="center"/>
            <w:shd w:fill="F7F9FA"/>
            <w:tcMar>
              <w:top w:w="85" w:type="dxa"/>
              <w:bottom w:w="85" w:type="dxa"/>
              <w:left w:w="95" w:type="dxa"/>
              <w:right w:w="95" w:type="dxa"/>
            </w:tcMar>
          </w:tcPr>
          <w:p>
            <w:pPr>
              <w:spacing w:after="0" w:line="280" w:lineRule="exact"/>
            </w:pPr>
            <w:r>
              <w:rPr>
                <w:b w:val="0"/>
                <w:sz w:val="20"/>
              </w:rPr>
              <w:t>计算从进入洞察到首次有效查看的时间。</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异常能够恢复</w:t>
            </w:r>
          </w:p>
        </w:tc>
        <w:tc>
          <w:tcPr>
            <w:tcW w:type="dxa" w:w="3816"/>
            <w:vAlign w:val="center"/>
            <w:shd w:fill="FFFFFF"/>
            <w:tcMar>
              <w:top w:w="85" w:type="dxa"/>
              <w:bottom w:w="85" w:type="dxa"/>
              <w:left w:w="95" w:type="dxa"/>
              <w:right w:w="95" w:type="dxa"/>
            </w:tcMar>
          </w:tcPr>
          <w:p>
            <w:pPr>
              <w:spacing w:after="0" w:line="280" w:lineRule="exact"/>
            </w:pPr>
            <w:r>
              <w:rPr>
                <w:b w:val="0"/>
                <w:sz w:val="20"/>
              </w:rPr>
              <w:t>空状态曝光、恢复按钮点击、恢复完成</w:t>
            </w:r>
          </w:p>
        </w:tc>
        <w:tc>
          <w:tcPr>
            <w:tcW w:type="dxa" w:w="4090"/>
            <w:vAlign w:val="center"/>
            <w:shd w:fill="FFFFFF"/>
            <w:tcMar>
              <w:top w:w="85" w:type="dxa"/>
              <w:bottom w:w="85" w:type="dxa"/>
              <w:left w:w="95" w:type="dxa"/>
              <w:right w:w="95" w:type="dxa"/>
            </w:tcMar>
          </w:tcPr>
          <w:p>
            <w:pPr>
              <w:spacing w:after="0" w:line="280" w:lineRule="exact"/>
            </w:pPr>
            <w:r>
              <w:rPr>
                <w:b w:val="0"/>
                <w:sz w:val="20"/>
              </w:rPr>
              <w:t>按状态统计，不把取消筛选当重新授权成功。</w:t>
            </w:r>
          </w:p>
        </w:tc>
      </w:tr>
      <w:tr>
        <w:trPr>
          <w:cantSplit/>
        </w:trPr>
        <w:tc>
          <w:tcPr>
            <w:tcW w:type="dxa" w:w="2376"/>
            <w:vAlign w:val="center"/>
            <w:shd w:fill="F7F9FA"/>
            <w:tcMar>
              <w:top w:w="85" w:type="dxa"/>
              <w:bottom w:w="85" w:type="dxa"/>
              <w:left w:w="95" w:type="dxa"/>
              <w:right w:w="95" w:type="dxa"/>
            </w:tcMar>
          </w:tcPr>
          <w:p>
            <w:pPr>
              <w:spacing w:after="0" w:line="280" w:lineRule="exact"/>
            </w:pPr>
            <w:r>
              <w:rPr>
                <w:b w:val="0"/>
                <w:sz w:val="20"/>
              </w:rPr>
              <w:t>诊断进入制作</w:t>
            </w:r>
          </w:p>
        </w:tc>
        <w:tc>
          <w:tcPr>
            <w:tcW w:type="dxa" w:w="3816"/>
            <w:vAlign w:val="center"/>
            <w:shd w:fill="F7F9FA"/>
            <w:tcMar>
              <w:top w:w="85" w:type="dxa"/>
              <w:bottom w:w="85" w:type="dxa"/>
              <w:left w:w="95" w:type="dxa"/>
              <w:right w:w="95" w:type="dxa"/>
            </w:tcMar>
          </w:tcPr>
          <w:p>
            <w:pPr>
              <w:spacing w:after="0" w:line="280" w:lineRule="exact"/>
            </w:pPr>
            <w:r>
              <w:rPr>
                <w:b w:val="0"/>
                <w:sz w:val="20"/>
              </w:rPr>
              <w:t>查看诊断、采纳或驳回、创建任务、交付版本、完成复盘</w:t>
            </w:r>
          </w:p>
        </w:tc>
        <w:tc>
          <w:tcPr>
            <w:tcW w:type="dxa" w:w="4090"/>
            <w:vAlign w:val="center"/>
            <w:shd w:fill="F7F9FA"/>
            <w:tcMar>
              <w:top w:w="85" w:type="dxa"/>
              <w:bottom w:w="85" w:type="dxa"/>
              <w:left w:w="95" w:type="dxa"/>
              <w:right w:w="95" w:type="dxa"/>
            </w:tcMar>
          </w:tcPr>
          <w:p>
            <w:pPr>
              <w:spacing w:after="0" w:line="280" w:lineRule="exact"/>
            </w:pPr>
            <w:r>
              <w:rPr>
                <w:b w:val="0"/>
                <w:sz w:val="20"/>
              </w:rPr>
              <w:t>看采纳原因和闭环完成率，同时记录误判反馈。</w:t>
            </w:r>
          </w:p>
        </w:tc>
      </w:tr>
      <w:tr>
        <w:trPr>
          <w:cantSplit/>
        </w:trPr>
        <w:tc>
          <w:tcPr>
            <w:tcW w:type="dxa" w:w="2376"/>
            <w:vAlign w:val="center"/>
            <w:shd w:fill="FFFFFF"/>
            <w:tcMar>
              <w:top w:w="85" w:type="dxa"/>
              <w:bottom w:w="85" w:type="dxa"/>
              <w:left w:w="95" w:type="dxa"/>
              <w:right w:w="95" w:type="dxa"/>
            </w:tcMar>
          </w:tcPr>
          <w:p>
            <w:pPr>
              <w:spacing w:after="0" w:line="280" w:lineRule="exact"/>
            </w:pPr>
            <w:r>
              <w:rPr>
                <w:b w:val="0"/>
                <w:sz w:val="20"/>
              </w:rPr>
              <w:t>持续使用</w:t>
            </w:r>
          </w:p>
        </w:tc>
        <w:tc>
          <w:tcPr>
            <w:tcW w:type="dxa" w:w="3816"/>
            <w:vAlign w:val="center"/>
            <w:shd w:fill="FFFFFF"/>
            <w:tcMar>
              <w:top w:w="85" w:type="dxa"/>
              <w:bottom w:w="85" w:type="dxa"/>
              <w:left w:w="95" w:type="dxa"/>
              <w:right w:w="95" w:type="dxa"/>
            </w:tcMar>
          </w:tcPr>
          <w:p>
            <w:pPr>
              <w:spacing w:after="0" w:line="280" w:lineRule="exact"/>
            </w:pPr>
            <w:r>
              <w:rPr>
                <w:b w:val="0"/>
                <w:sz w:val="20"/>
              </w:rPr>
              <w:t>周内查看真实数据、查看详情或处理任务的去重用户</w:t>
            </w:r>
          </w:p>
        </w:tc>
        <w:tc>
          <w:tcPr>
            <w:tcW w:type="dxa" w:w="4090"/>
            <w:vAlign w:val="center"/>
            <w:shd w:fill="FFFFFF"/>
            <w:tcMar>
              <w:top w:w="85" w:type="dxa"/>
              <w:bottom w:w="85" w:type="dxa"/>
              <w:left w:w="95" w:type="dxa"/>
              <w:right w:w="95" w:type="dxa"/>
            </w:tcMar>
          </w:tcPr>
          <w:p>
            <w:pPr>
              <w:spacing w:after="0" w:line="280" w:lineRule="exact"/>
            </w:pPr>
            <w:r>
              <w:rPr>
                <w:b w:val="0"/>
                <w:sz w:val="20"/>
              </w:rPr>
              <w:t>计算功能WAU与回访，授权页访问和示例浏览单独统计。</w:t>
            </w:r>
          </w:p>
        </w:tc>
      </w:tr>
    </w:tbl>
    <w:p>
      <w:pPr>
        <w:spacing w:after="20" w:before="0" w:line="240" w:lineRule="auto"/>
      </w:pPr>
      <w:r>
        <w:rPr>
          <w:sz w:val="4"/>
        </w:rPr>
      </w:r>
    </w:p>
    <w:p>
      <w:r>
        <w:rPr>
          <w:b w:val="0"/>
        </w:rPr>
        <w:t>所有事件携带工作空间、入口、投放模式、当前范围、页面状态和数据时间等必要业务维度。示例数据、测试账户和重复授权回调单独标识，不计入真实分析激活。改善目标在上线前建立基线后设定，不编造固定提升比例。</w:t>
      </w:r>
    </w:p>
    <w:p>
      <w:pPr>
        <w:pStyle w:val="Heading1"/>
        <w:pageBreakBefore/>
      </w:pPr>
      <w:r>
        <w:t>15 最小验收清单</w:t>
      </w:r>
    </w:p>
    <w:p>
      <w:pPr>
        <w:pStyle w:val="Heading2"/>
      </w:pPr>
      <w:r>
        <w:t>账户接入与状态</w:t>
      </w:r>
    </w:p>
    <w:p>
      <w:pPr>
        <w:spacing w:after="60"/>
      </w:pPr>
      <w:r>
        <w:rPr>
          <w:b w:val="0"/>
        </w:rPr>
        <w:t>1. 未连接用户进入任何洞察入口，首屏均可点击连接，不需要自行查找设置。</w:t>
      </w:r>
    </w:p>
    <w:p>
      <w:pPr>
        <w:spacing w:after="60"/>
      </w:pPr>
      <w:r>
        <w:rPr>
          <w:b w:val="0"/>
        </w:rPr>
        <w:t>2. 连接成功但未选账户时引导继续选择，不显示同步成功。</w:t>
      </w:r>
    </w:p>
    <w:p>
      <w:pPr>
        <w:spacing w:after="60"/>
      </w:pPr>
      <w:r>
        <w:rPr>
          <w:b w:val="0"/>
        </w:rPr>
        <w:t>3. 用户确认范围并开始同步后，无需再次开启隐藏开关。</w:t>
      </w:r>
    </w:p>
    <w:p>
      <w:pPr>
        <w:spacing w:after="60"/>
      </w:pPr>
      <w:r>
        <w:rPr>
          <w:b w:val="0"/>
        </w:rPr>
        <w:t>4. 用户取消授权可回原页，不自动反复弹出授权窗口。</w:t>
      </w:r>
    </w:p>
    <w:p>
      <w:pPr>
        <w:spacing w:after="60"/>
      </w:pPr>
      <w:r>
        <w:rPr>
          <w:b w:val="0"/>
        </w:rPr>
        <w:t>5. 重复连接已有账户不生成重复记录；重复同步显示当前任务状态。</w:t>
      </w:r>
    </w:p>
    <w:p>
      <w:pPr>
        <w:spacing w:after="60"/>
      </w:pPr>
      <w:r>
        <w:rPr>
          <w:b w:val="0"/>
        </w:rPr>
        <w:t>6. 同步失败有恢复按钮；已有数据继续显示并标明更新时间。</w:t>
      </w:r>
    </w:p>
    <w:p>
      <w:pPr>
        <w:spacing w:after="60"/>
      </w:pPr>
      <w:r>
        <w:rPr>
          <w:b w:val="0"/>
        </w:rPr>
        <w:t>7. 多账户部分失败时，正常账户可用，汇总明确纳入和未纳入范围。</w:t>
      </w:r>
    </w:p>
    <w:p>
      <w:pPr>
        <w:spacing w:after="60"/>
      </w:pPr>
      <w:r>
        <w:rPr>
          <w:b w:val="0"/>
        </w:rPr>
        <w:t>8. 无管理权限用户可获得管理员接入说明，不要求其个人重复授权。</w:t>
      </w:r>
    </w:p>
    <w:p>
      <w:pPr>
        <w:pStyle w:val="Heading2"/>
      </w:pPr>
      <w:r>
        <w:t>空状态与口径</w:t>
      </w:r>
    </w:p>
    <w:p>
      <w:pPr>
        <w:spacing w:after="60"/>
      </w:pPr>
      <w:r>
        <w:rPr>
          <w:b w:val="0"/>
        </w:rPr>
        <w:t>9. 未接入、同步中、筛选无结果、无投放记录、样本不足使用不同文案和操作。</w:t>
      </w:r>
    </w:p>
    <w:p>
      <w:pPr>
        <w:spacing w:after="60"/>
      </w:pPr>
      <w:r>
        <w:rPr>
          <w:b w:val="0"/>
        </w:rPr>
        <w:t>10. 未取得有效数据时不显示正常、疲劳0分或供给不足警告。</w:t>
      </w:r>
    </w:p>
    <w:p>
      <w:pPr>
        <w:spacing w:after="60"/>
      </w:pPr>
      <w:r>
        <w:rPr>
          <w:b w:val="0"/>
        </w:rPr>
        <w:t>11. 指标缺失不填0，除数为0时不显示错误ROI、CPO或衰减比例。</w:t>
      </w:r>
    </w:p>
    <w:p>
      <w:pPr>
        <w:spacing w:after="60"/>
      </w:pPr>
      <w:r>
        <w:rPr>
          <w:b w:val="0"/>
        </w:rPr>
        <w:t>12. 当前日期无记录时可调整日期，且不误要求重新授权。</w:t>
      </w:r>
    </w:p>
    <w:p>
      <w:pPr>
        <w:spacing w:after="60"/>
      </w:pPr>
      <w:r>
        <w:rPr>
          <w:b w:val="0"/>
        </w:rPr>
        <w:t>13. 清除局部筛选不改变账户、店铺和原有权限范围。</w:t>
      </w:r>
    </w:p>
    <w:p>
      <w:pPr>
        <w:spacing w:after="60"/>
      </w:pPr>
      <w:r>
        <w:rPr>
          <w:b w:val="0"/>
        </w:rPr>
        <w:t>14. 库存、当前有消耗素材、可诊断素材和证据充分素材的数量有独立说明。</w:t>
      </w:r>
    </w:p>
    <w:p>
      <w:pPr>
        <w:spacing w:after="60"/>
      </w:pPr>
      <w:r>
        <w:rPr>
          <w:b w:val="0"/>
        </w:rPr>
        <w:t>15. 同一范围的花费、订单等指标一致；不同范围有明确标注。</w:t>
      </w:r>
    </w:p>
    <w:p>
      <w:pPr>
        <w:spacing w:after="60"/>
      </w:pPr>
      <w:r>
        <w:rPr>
          <w:b w:val="0"/>
        </w:rPr>
        <w:t>16. 行业基准、成熟素材基准和预计影响均能解释依据；缺少依据时停止展示结论。</w:t>
      </w:r>
    </w:p>
    <w:p>
      <w:pPr>
        <w:pStyle w:val="Heading2"/>
      </w:pPr>
      <w:r>
        <w:t>导航与任务</w:t>
      </w:r>
    </w:p>
    <w:p>
      <w:pPr>
        <w:spacing w:after="60"/>
      </w:pPr>
      <w:r>
        <w:rPr>
          <w:b w:val="0"/>
        </w:rPr>
        <w:t>17. 经营总览与素材表现各有唯一主入口，旧入口映射到新位置。</w:t>
      </w:r>
    </w:p>
    <w:p>
      <w:pPr>
        <w:spacing w:after="60"/>
      </w:pPr>
      <w:r>
        <w:rPr>
          <w:b w:val="0"/>
        </w:rPr>
        <w:t>18. GMV Max与竞价广告按模式切换，筛选和口径同步变化。</w:t>
      </w:r>
    </w:p>
    <w:p>
      <w:pPr>
        <w:spacing w:after="60"/>
      </w:pPr>
      <w:r>
        <w:rPr>
          <w:b w:val="0"/>
        </w:rPr>
        <w:t>19. 主导航不出现无法使用的投放中心或任务记录占位页。</w:t>
      </w:r>
    </w:p>
    <w:p>
      <w:pPr>
        <w:spacing w:after="60"/>
      </w:pPr>
      <w:r>
        <w:rPr>
          <w:b w:val="0"/>
        </w:rPr>
        <w:t>20. 账户和素材以名称、封面识别，ID不作为唯一可读名称。</w:t>
      </w:r>
    </w:p>
    <w:p>
      <w:pPr>
        <w:spacing w:after="60"/>
      </w:pPr>
      <w:r>
        <w:rPr>
          <w:b w:val="0"/>
        </w:rPr>
        <w:t>21. 疑似疲劳能够查看当前与基准实际值、日期和样本，不只有分数。</w:t>
      </w:r>
    </w:p>
    <w:p>
      <w:pPr>
        <w:spacing w:after="60"/>
      </w:pPr>
      <w:r>
        <w:rPr>
          <w:b w:val="0"/>
        </w:rPr>
        <w:t>22. 商品卡不出现视频观看或换开头建议。</w:t>
      </w:r>
    </w:p>
    <w:p>
      <w:pPr>
        <w:spacing w:after="60"/>
      </w:pPr>
      <w:r>
        <w:rPr>
          <w:b w:val="0"/>
        </w:rPr>
        <w:t>23. 继续观察有复核条件，且不计为需人工执行的待办数量。</w:t>
      </w:r>
    </w:p>
    <w:p>
      <w:pPr>
        <w:spacing w:after="60"/>
      </w:pPr>
      <w:r>
        <w:rPr>
          <w:b w:val="0"/>
        </w:rPr>
        <w:t>24. 改版任务保存原素材、证据、修改要求和版本，能返回原分析范围。</w:t>
      </w:r>
    </w:p>
    <w:p>
      <w:pPr>
        <w:spacing w:after="60"/>
      </w:pPr>
      <w:r>
        <w:rPr>
          <w:b w:val="0"/>
        </w:rPr>
        <w:t>25. 授权、同步、生成和提交成功不被表述为广告已投放或优化有效。</w:t>
      </w:r>
    </w:p>
    <w:p>
      <w:pPr>
        <w:spacing w:after="60"/>
      </w:pPr>
      <w:r>
        <w:rPr>
          <w:b w:val="0"/>
        </w:rPr>
        <w:t>26. 800积分资格、触发、失败与重复处理符合已公布规则。</w:t>
      </w:r>
    </w:p>
    <w:p>
      <w:r>
        <w:rPr>
          <w:b w:val="0"/>
        </w:rPr>
        <w:t>验收应至少覆盖新用户、已有历史数据用户、多账户部分异常用户、无管理权限设计师四类角色或状态组合，并使用真实脱敏数据核对关键口径。</w:t>
      </w:r>
    </w:p>
    <w:p>
      <w:pPr>
        <w:pStyle w:val="Heading1"/>
        <w:pageBreakBefore/>
      </w:pPr>
      <w:r>
        <w:t>16 后续原型范围与评审事项</w:t>
      </w:r>
    </w:p>
    <w:p>
      <w:pPr>
        <w:pStyle w:val="Heading2"/>
      </w:pPr>
      <w:r>
        <w:t>下一轮原型需要覆盖的页面状态</w:t>
      </w:r>
    </w:p>
    <w:tbl>
      <w:tblPr>
        <w:tblW w:type="dxa" w:w="1028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02"/>
      </w:tblGrid>
      <w:tr>
        <w:trPr>
          <w:cantSplit/>
          <w:tblHeader/>
        </w:trPr>
        <w:tc>
          <w:tcPr>
            <w:tcW w:type="dxa" w:w="2880"/>
            <w:vAlign w:val="center"/>
            <w:shd w:fill="E9EFF2"/>
            <w:tcMar>
              <w:top w:w="85" w:type="dxa"/>
              <w:bottom w:w="85" w:type="dxa"/>
              <w:left w:w="95" w:type="dxa"/>
              <w:right w:w="95" w:type="dxa"/>
            </w:tcMar>
          </w:tcPr>
          <w:p>
            <w:pPr>
              <w:spacing w:after="0" w:line="280" w:lineRule="exact"/>
            </w:pPr>
            <w:r>
              <w:rPr>
                <w:b/>
                <w:sz w:val="20"/>
              </w:rPr>
              <w:t>原型组</w:t>
            </w:r>
          </w:p>
        </w:tc>
        <w:tc>
          <w:tcPr>
            <w:tcW w:type="dxa" w:w="7402"/>
            <w:vAlign w:val="center"/>
            <w:shd w:fill="E9EFF2"/>
            <w:tcMar>
              <w:top w:w="85" w:type="dxa"/>
              <w:bottom w:w="85" w:type="dxa"/>
              <w:left w:w="95" w:type="dxa"/>
              <w:right w:w="95" w:type="dxa"/>
            </w:tcMar>
          </w:tcPr>
          <w:p>
            <w:pPr>
              <w:spacing w:after="0" w:line="280" w:lineRule="exact"/>
            </w:pPr>
            <w:r>
              <w:rPr>
                <w:b/>
                <w:sz w:val="20"/>
              </w:rPr>
              <w:t>必须表达的内容</w:t>
            </w:r>
          </w:p>
        </w:tc>
      </w:tr>
      <w:tr>
        <w:trPr>
          <w:cantSplit/>
        </w:trPr>
        <w:tc>
          <w:tcPr>
            <w:tcW w:type="dxa" w:w="2880"/>
            <w:vAlign w:val="center"/>
            <w:shd w:fill="FFFFFF"/>
            <w:tcMar>
              <w:top w:w="85" w:type="dxa"/>
              <w:bottom w:w="85" w:type="dxa"/>
              <w:left w:w="95" w:type="dxa"/>
              <w:right w:w="95" w:type="dxa"/>
            </w:tcMar>
          </w:tcPr>
          <w:p>
            <w:pPr>
              <w:spacing w:after="0" w:line="280" w:lineRule="exact"/>
            </w:pPr>
            <w:r>
              <w:rPr>
                <w:b w:val="0"/>
                <w:sz w:val="20"/>
              </w:rPr>
              <w:t>P01 首次进入素材洞察</w:t>
            </w:r>
          </w:p>
        </w:tc>
        <w:tc>
          <w:tcPr>
            <w:tcW w:type="dxa" w:w="7402"/>
            <w:vAlign w:val="center"/>
            <w:shd w:fill="FFFFFF"/>
            <w:tcMar>
              <w:top w:w="85" w:type="dxa"/>
              <w:bottom w:w="85" w:type="dxa"/>
              <w:left w:w="95" w:type="dxa"/>
              <w:right w:w="95" w:type="dxa"/>
            </w:tcMar>
          </w:tcPr>
          <w:p>
            <w:pPr>
              <w:spacing w:after="0" w:line="280" w:lineRule="exact"/>
            </w:pPr>
            <w:r>
              <w:rPr>
                <w:b w:val="0"/>
                <w:sz w:val="20"/>
              </w:rPr>
              <w:t>接入价值、连接主按钮、权限说明、已有连接管理入口。</w:t>
            </w:r>
          </w:p>
        </w:tc>
      </w:tr>
      <w:tr>
        <w:trPr>
          <w:cantSplit/>
        </w:trPr>
        <w:tc>
          <w:tcPr>
            <w:tcW w:type="dxa" w:w="2880"/>
            <w:vAlign w:val="center"/>
            <w:shd w:fill="F7F9FA"/>
            <w:tcMar>
              <w:top w:w="85" w:type="dxa"/>
              <w:bottom w:w="85" w:type="dxa"/>
              <w:left w:w="95" w:type="dxa"/>
              <w:right w:w="95" w:type="dxa"/>
            </w:tcMar>
          </w:tcPr>
          <w:p>
            <w:pPr>
              <w:spacing w:after="0" w:line="280" w:lineRule="exact"/>
            </w:pPr>
            <w:r>
              <w:rPr>
                <w:b w:val="0"/>
                <w:sz w:val="20"/>
              </w:rPr>
              <w:t>P02 账户接入流程</w:t>
            </w:r>
          </w:p>
        </w:tc>
        <w:tc>
          <w:tcPr>
            <w:tcW w:type="dxa" w:w="7402"/>
            <w:vAlign w:val="center"/>
            <w:shd w:fill="F7F9FA"/>
            <w:tcMar>
              <w:top w:w="85" w:type="dxa"/>
              <w:bottom w:w="85" w:type="dxa"/>
              <w:left w:w="95" w:type="dxa"/>
              <w:right w:w="95" w:type="dxa"/>
            </w:tcMar>
          </w:tcPr>
          <w:p>
            <w:pPr>
              <w:spacing w:after="0" w:line="280" w:lineRule="exact"/>
            </w:pPr>
            <w:r>
              <w:rPr>
                <w:b w:val="0"/>
                <w:sz w:val="20"/>
              </w:rPr>
              <w:t>授权前说明、账户选择、可用范围、开始同步、返回关系。</w:t>
            </w:r>
          </w:p>
        </w:tc>
      </w:tr>
      <w:tr>
        <w:trPr>
          <w:cantSplit/>
        </w:trPr>
        <w:tc>
          <w:tcPr>
            <w:tcW w:type="dxa" w:w="2880"/>
            <w:vAlign w:val="center"/>
            <w:shd w:fill="FFFFFF"/>
            <w:tcMar>
              <w:top w:w="85" w:type="dxa"/>
              <w:bottom w:w="85" w:type="dxa"/>
              <w:left w:w="95" w:type="dxa"/>
              <w:right w:w="95" w:type="dxa"/>
            </w:tcMar>
          </w:tcPr>
          <w:p>
            <w:pPr>
              <w:spacing w:after="0" w:line="280" w:lineRule="exact"/>
            </w:pPr>
            <w:r>
              <w:rPr>
                <w:b w:val="0"/>
                <w:sz w:val="20"/>
              </w:rPr>
              <w:t>P03 同步与恢复</w:t>
            </w:r>
          </w:p>
        </w:tc>
        <w:tc>
          <w:tcPr>
            <w:tcW w:type="dxa" w:w="7402"/>
            <w:vAlign w:val="center"/>
            <w:shd w:fill="FFFFFF"/>
            <w:tcMar>
              <w:top w:w="85" w:type="dxa"/>
              <w:bottom w:w="85" w:type="dxa"/>
              <w:left w:w="95" w:type="dxa"/>
              <w:right w:w="95" w:type="dxa"/>
            </w:tcMar>
          </w:tcPr>
          <w:p>
            <w:pPr>
              <w:spacing w:after="0" w:line="280" w:lineRule="exact"/>
            </w:pPr>
            <w:r>
              <w:rPr>
                <w:b w:val="0"/>
                <w:sz w:val="20"/>
              </w:rPr>
              <w:t>首次同步、失败、历史数据、失效重连、部分成功。</w:t>
            </w:r>
          </w:p>
        </w:tc>
      </w:tr>
      <w:tr>
        <w:trPr>
          <w:cantSplit/>
        </w:trPr>
        <w:tc>
          <w:tcPr>
            <w:tcW w:type="dxa" w:w="2880"/>
            <w:vAlign w:val="center"/>
            <w:shd w:fill="F7F9FA"/>
            <w:tcMar>
              <w:top w:w="85" w:type="dxa"/>
              <w:bottom w:w="85" w:type="dxa"/>
              <w:left w:w="95" w:type="dxa"/>
              <w:right w:w="95" w:type="dxa"/>
            </w:tcMar>
          </w:tcPr>
          <w:p>
            <w:pPr>
              <w:spacing w:after="0" w:line="280" w:lineRule="exact"/>
            </w:pPr>
            <w:r>
              <w:rPr>
                <w:b w:val="0"/>
                <w:sz w:val="20"/>
              </w:rPr>
              <w:t>P04 经营总览</w:t>
            </w:r>
          </w:p>
        </w:tc>
        <w:tc>
          <w:tcPr>
            <w:tcW w:type="dxa" w:w="7402"/>
            <w:vAlign w:val="center"/>
            <w:shd w:fill="F7F9FA"/>
            <w:tcMar>
              <w:top w:w="85" w:type="dxa"/>
              <w:bottom w:w="85" w:type="dxa"/>
              <w:left w:w="95" w:type="dxa"/>
              <w:right w:w="95" w:type="dxa"/>
            </w:tcMar>
          </w:tcPr>
          <w:p>
            <w:pPr>
              <w:spacing w:after="0" w:line="280" w:lineRule="exact"/>
            </w:pPr>
            <w:r>
              <w:rPr>
                <w:b w:val="0"/>
                <w:sz w:val="20"/>
              </w:rPr>
              <w:t>有数据、真实无记录、无异常、问题队列和统一筛选。</w:t>
            </w:r>
          </w:p>
        </w:tc>
      </w:tr>
      <w:tr>
        <w:trPr>
          <w:cantSplit/>
        </w:trPr>
        <w:tc>
          <w:tcPr>
            <w:tcW w:type="dxa" w:w="2880"/>
            <w:vAlign w:val="center"/>
            <w:shd w:fill="FFFFFF"/>
            <w:tcMar>
              <w:top w:w="85" w:type="dxa"/>
              <w:bottom w:w="85" w:type="dxa"/>
              <w:left w:w="95" w:type="dxa"/>
              <w:right w:w="95" w:type="dxa"/>
            </w:tcMar>
          </w:tcPr>
          <w:p>
            <w:pPr>
              <w:spacing w:after="0" w:line="280" w:lineRule="exact"/>
            </w:pPr>
            <w:r>
              <w:rPr>
                <w:b w:val="0"/>
                <w:sz w:val="20"/>
              </w:rPr>
              <w:t>P05 素材表现</w:t>
            </w:r>
          </w:p>
        </w:tc>
        <w:tc>
          <w:tcPr>
            <w:tcW w:type="dxa" w:w="7402"/>
            <w:vAlign w:val="center"/>
            <w:shd w:fill="FFFFFF"/>
            <w:tcMar>
              <w:top w:w="85" w:type="dxa"/>
              <w:bottom w:w="85" w:type="dxa"/>
              <w:left w:w="95" w:type="dxa"/>
              <w:right w:w="95" w:type="dxa"/>
            </w:tcMar>
          </w:tcPr>
          <w:p>
            <w:pPr>
              <w:spacing w:after="0" w:line="280" w:lineRule="exact"/>
            </w:pPr>
            <w:r>
              <w:rPr>
                <w:b w:val="0"/>
                <w:sz w:val="20"/>
              </w:rPr>
              <w:t>库存与诊断范围、列表识别、证据状态、疲劳筛选。</w:t>
            </w:r>
          </w:p>
        </w:tc>
      </w:tr>
      <w:tr>
        <w:trPr>
          <w:cantSplit/>
        </w:trPr>
        <w:tc>
          <w:tcPr>
            <w:tcW w:type="dxa" w:w="2880"/>
            <w:vAlign w:val="center"/>
            <w:shd w:fill="F7F9FA"/>
            <w:tcMar>
              <w:top w:w="85" w:type="dxa"/>
              <w:bottom w:w="85" w:type="dxa"/>
              <w:left w:w="95" w:type="dxa"/>
              <w:right w:w="95" w:type="dxa"/>
            </w:tcMar>
          </w:tcPr>
          <w:p>
            <w:pPr>
              <w:spacing w:after="0" w:line="280" w:lineRule="exact"/>
            </w:pPr>
            <w:r>
              <w:rPr>
                <w:b w:val="0"/>
                <w:sz w:val="20"/>
              </w:rPr>
              <w:t>P06 素材详情</w:t>
            </w:r>
          </w:p>
        </w:tc>
        <w:tc>
          <w:tcPr>
            <w:tcW w:type="dxa" w:w="7402"/>
            <w:vAlign w:val="center"/>
            <w:shd w:fill="F7F9FA"/>
            <w:tcMar>
              <w:top w:w="85" w:type="dxa"/>
              <w:bottom w:w="85" w:type="dxa"/>
              <w:left w:w="95" w:type="dxa"/>
              <w:right w:w="95" w:type="dxa"/>
            </w:tcMar>
          </w:tcPr>
          <w:p>
            <w:pPr>
              <w:spacing w:after="0" w:line="280" w:lineRule="exact"/>
            </w:pPr>
            <w:r>
              <w:rPr>
                <w:b w:val="0"/>
                <w:sz w:val="20"/>
              </w:rPr>
              <w:t>原视频、比较证据、内容观察、修改要求和任务入口。</w:t>
            </w:r>
          </w:p>
        </w:tc>
      </w:tr>
      <w:tr>
        <w:trPr>
          <w:cantSplit/>
        </w:trPr>
        <w:tc>
          <w:tcPr>
            <w:tcW w:type="dxa" w:w="2880"/>
            <w:vAlign w:val="center"/>
            <w:shd w:fill="FFFFFF"/>
            <w:tcMar>
              <w:top w:w="85" w:type="dxa"/>
              <w:bottom w:w="85" w:type="dxa"/>
              <w:left w:w="95" w:type="dxa"/>
              <w:right w:w="95" w:type="dxa"/>
            </w:tcMar>
          </w:tcPr>
          <w:p>
            <w:pPr>
              <w:spacing w:after="0" w:line="280" w:lineRule="exact"/>
            </w:pPr>
            <w:r>
              <w:rPr>
                <w:b w:val="0"/>
                <w:sz w:val="20"/>
              </w:rPr>
              <w:t>P07 数据源管理</w:t>
            </w:r>
          </w:p>
        </w:tc>
        <w:tc>
          <w:tcPr>
            <w:tcW w:type="dxa" w:w="7402"/>
            <w:vAlign w:val="center"/>
            <w:shd w:fill="FFFFFF"/>
            <w:tcMar>
              <w:top w:w="85" w:type="dxa"/>
              <w:bottom w:w="85" w:type="dxa"/>
              <w:left w:w="95" w:type="dxa"/>
              <w:right w:w="95" w:type="dxa"/>
            </w:tcMar>
          </w:tcPr>
          <w:p>
            <w:pPr>
              <w:spacing w:after="0" w:line="280" w:lineRule="exact"/>
            </w:pPr>
            <w:r>
              <w:rPr>
                <w:b w:val="0"/>
                <w:sz w:val="20"/>
              </w:rPr>
              <w:t>未连接、账户列表、能力缺口、暂停与断开说明。</w:t>
            </w:r>
          </w:p>
        </w:tc>
      </w:tr>
      <w:tr>
        <w:trPr>
          <w:cantSplit/>
        </w:trPr>
        <w:tc>
          <w:tcPr>
            <w:tcW w:type="dxa" w:w="2880"/>
            <w:vAlign w:val="center"/>
            <w:shd w:fill="F7F9FA"/>
            <w:tcMar>
              <w:top w:w="85" w:type="dxa"/>
              <w:bottom w:w="85" w:type="dxa"/>
              <w:left w:w="95" w:type="dxa"/>
              <w:right w:w="95" w:type="dxa"/>
            </w:tcMar>
          </w:tcPr>
          <w:p>
            <w:pPr>
              <w:spacing w:after="0" w:line="280" w:lineRule="exact"/>
            </w:pPr>
            <w:r>
              <w:rPr>
                <w:b w:val="0"/>
                <w:sz w:val="20"/>
              </w:rPr>
              <w:t>P08 创意任务衔接</w:t>
            </w:r>
          </w:p>
        </w:tc>
        <w:tc>
          <w:tcPr>
            <w:tcW w:type="dxa" w:w="7402"/>
            <w:vAlign w:val="center"/>
            <w:shd w:fill="F7F9FA"/>
            <w:tcMar>
              <w:top w:w="85" w:type="dxa"/>
              <w:bottom w:w="85" w:type="dxa"/>
              <w:left w:w="95" w:type="dxa"/>
              <w:right w:w="95" w:type="dxa"/>
            </w:tcMar>
          </w:tcPr>
          <w:p>
            <w:pPr>
              <w:spacing w:after="0" w:line="280" w:lineRule="exact"/>
            </w:pPr>
            <w:r>
              <w:rPr>
                <w:b w:val="0"/>
                <w:sz w:val="20"/>
              </w:rPr>
              <w:t>从诊断创建、制作交付、返回素材、复盘；仅呈现已计划落地能力。</w:t>
            </w:r>
          </w:p>
        </w:tc>
      </w:tr>
    </w:tbl>
    <w:p>
      <w:pPr>
        <w:spacing w:after="20" w:before="0" w:line="240" w:lineRule="auto"/>
      </w:pPr>
      <w:r>
        <w:rPr>
          <w:sz w:val="4"/>
        </w:rPr>
      </w:r>
    </w:p>
    <w:p>
      <w:pPr>
        <w:pStyle w:val="Heading2"/>
      </w:pPr>
      <w:r>
        <w:t>原型前需要锁定的业务规则</w:t>
      </w:r>
    </w:p>
    <w:p>
      <w:r>
        <w:rPr>
          <w:b w:val="0"/>
        </w:rPr>
        <w:t>产品确认当前账户与店铺数据的实际可访问范围、用户角色权限、可同步历史区间和更新频率；确认800积分活动资格及触发条件；确认暂停与断开后的历史数据规则；确认素材健康线与诊断证据规则；确认现有任务模块可承接到哪一步。未确认能力不出现在用户界面的确定性承诺中。</w:t>
      </w:r>
    </w:p>
    <w:p>
      <w:pPr>
        <w:pStyle w:val="Heading2"/>
      </w:pPr>
      <w:r>
        <w:t>建议评审顺序</w:t>
      </w:r>
    </w:p>
    <w:p>
      <w:r>
        <w:rPr>
          <w:b w:val="0"/>
        </w:rPr>
        <w:t>先确认菜单合并及状态矩阵，再评审首轮接入与返回路径，随后用有数据样本验证报表与诊断，最后确定任务衔接和原型范围。每个问题以可见行为和验收结果完成闭合，不仅修改一个按钮或一段提示语。</w:t>
      </w:r>
    </w:p>
    <w:p>
      <w:pPr>
        <w:pStyle w:val="Heading2"/>
      </w:pPr>
      <w:r>
        <w:t>资料索引</w:t>
      </w:r>
    </w:p>
    <w:p>
      <w:r>
        <w:rPr>
          <w:b w:val="0"/>
        </w:rPr>
        <w:t>[S1] TikTok官方 Product GMV Max归因说明，核对日期为2026年9月9日。相关结论见第12节。</w:t>
      </w:r>
    </w:p>
    <w:p>
      <w:pPr>
        <w:spacing w:after="140"/>
      </w:pPr>
      <w:hyperlink r:id="rId10">
        <w:r>
          <w:rPr>
            <w:color w:val="24536B"/>
          </w:rPr>
          <w:t>TikTok 官方 GMV Max 归因说明</w:t>
        </w:r>
      </w:hyperlink>
    </w:p>
    <w:p>
      <w:r>
        <w:rPr>
          <w:b w:val="0"/>
        </w:rPr>
        <w:t>[S2] TikTok官方 Product GMV Max素材评价建议，核对日期为2026年9月9日。相关结论见第12节。</w:t>
      </w:r>
    </w:p>
    <w:p>
      <w:pPr>
        <w:spacing w:after="140"/>
      </w:pPr>
      <w:hyperlink r:id="rId11">
        <w:r>
          <w:rPr>
            <w:color w:val="24536B"/>
          </w:rPr>
          <w:t>TikTok 官方 GMV Max 素材评价建议</w:t>
        </w:r>
      </w:hyperlink>
    </w:p>
    <w:p>
      <w:r>
        <w:rPr>
          <w:b w:val="0"/>
        </w:rPr>
        <w:t>[S3] TikTok官方 Product GMV Max报表说明，用于核对指标适用范围。具体可用字段仍需对照当前账户能力。</w:t>
      </w:r>
    </w:p>
    <w:p>
      <w:pPr>
        <w:spacing w:after="140"/>
      </w:pPr>
      <w:hyperlink r:id="rId12">
        <w:r>
          <w:rPr>
            <w:color w:val="24536B"/>
          </w:rPr>
          <w:t>TikTok 官方 GMV Max 报表说明</w:t>
        </w:r>
      </w:hyperlink>
    </w:p>
    <w:sectPr w:rsidR="00FC693F" w:rsidRPr="0006063C" w:rsidSect="00034616">
      <w:footerReference w:type="default" r:id="rId9"/>
      <w:pgSz w:w="12240" w:h="15840"/>
      <w:pgMar w:top="936" w:right="979" w:bottom="864"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CreatiSignal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pPr>
    <w:rPr>
      <w:rFonts w:ascii="Calibri" w:hAnsi="Calibri" w:eastAsia="Microsoft YaHei"/>
      <w:b w:val="0"/>
      <w:color w:val="000000"/>
      <w:sz w:val="22"/>
      <w:lang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pPr>
    <w:rPr>
      <w:rFonts w:asciiTheme="majorHAnsi" w:eastAsiaTheme="majorEastAsia" w:hAnsiTheme="majorHAnsi" w:cstheme="majorBidi" w:ascii="Calibri" w:hAnsi="Calibri" w:eastAsia="Microsoft YaHei"/>
      <w:b/>
      <w:bCs/>
      <w:color w:val="000000"/>
      <w:sz w:val="36"/>
      <w:szCs w:val="28"/>
      <w:lang w:eastAsia="zh-CN"/>
    </w:rPr>
  </w:style>
  <w:style w:type="paragraph" w:styleId="Heading2">
    <w:name w:val="heading 2"/>
    <w:basedOn w:val="Normal"/>
    <w:next w:val="Normal"/>
    <w:link w:val="Heading2Char"/>
    <w:uiPriority w:val="9"/>
    <w:unhideWhenUsed/>
    <w:qFormat/>
    <w:rsid w:val="00FC693F"/>
    <w:pPr>
      <w:keepNext/>
      <w:keepLines/>
      <w:spacing w:before="140" w:after="80" w:line="360" w:lineRule="exact"/>
      <w:outlineLvl w:val="1"/>
    </w:pPr>
    <w:rPr>
      <w:rFonts w:asciiTheme="majorHAnsi" w:eastAsiaTheme="majorEastAsia" w:hAnsiTheme="majorHAnsi" w:cstheme="majorBidi" w:ascii="Calibri" w:hAnsi="Calibri" w:eastAsia="Microsoft YaHei"/>
      <w:b/>
      <w:bCs/>
      <w:color w:val="000000"/>
      <w:sz w:val="24"/>
      <w:szCs w:val="26"/>
      <w:lang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640" w:lineRule="exact" w:before="0"/>
      <w:contextualSpacing/>
    </w:pPr>
    <w:rPr>
      <w:rFonts w:asciiTheme="majorHAnsi" w:eastAsiaTheme="majorEastAsia" w:hAnsiTheme="majorHAnsi" w:cstheme="majorBidi" w:ascii="Calibri" w:hAnsi="Calibri" w:eastAsia="Microsoft YaHei"/>
      <w:b/>
      <w:color w:val="000000"/>
      <w:spacing w:val="5"/>
      <w:kern w:val="28"/>
      <w:sz w:val="46"/>
      <w:szCs w:val="52"/>
      <w:lang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360" w:lineRule="exact"/>
    </w:pPr>
    <w:rPr>
      <w:rFonts w:asciiTheme="majorHAnsi" w:eastAsiaTheme="majorEastAsia" w:hAnsiTheme="majorHAnsi" w:cstheme="majorBidi" w:ascii="Calibri" w:hAnsi="Calibri" w:eastAsia="Microsoft YaHei"/>
      <w:b w:val="0"/>
      <w:i/>
      <w:iCs/>
      <w:color w:val="000000"/>
      <w:spacing w:val="15"/>
      <w:sz w:val="24"/>
      <w:szCs w:val="24"/>
      <w:lang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ds.tiktok.com/resources/help/article/about-attribution-for-gmv-max?lang=en" TargetMode="External"/><Relationship Id="rId11" Type="http://schemas.openxmlformats.org/officeDocument/2006/relationships/hyperlink" Target="https://ads.tiktok.com/resources/help/article/tips-to-measure-product-and-video-quality-in-your-product-gmv-max-campaign" TargetMode="External"/><Relationship Id="rId12" Type="http://schemas.openxmlformats.org/officeDocument/2006/relationships/hyperlink" Target="https://ads.tiktok.com/resources/help/article/how-to-see-reporting-for-your-product-gmv-max-campaign?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素材洞察与数据源产品优化方案</dc:title>
  <dc:subject>账户接入 空状态 信息架构 诊断规则 逐页优化</dc:subject>
  <dc:creator>CreatiSignal</dc:creator>
  <cp:keywords>素材洞察, 数据源, TikTok, GMV Max, 产品优化</cp:keywords>
  <dc:description/>
  <cp:lastModifiedBy/>
  <cp:revision>1</cp:revision>
  <dcterms:created xsi:type="dcterms:W3CDTF">2013-12-23T23:15:00Z</dcterms:created>
  <dcterms:modified xsi:type="dcterms:W3CDTF">2013-12-23T23:15:00Z</dcterms:modified>
  <cp:category/>
</cp:coreProperties>
</file>