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68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 w14:paraId="2E675B8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附件中为2020第一季度起，所有股票的利润表数据。包含列如下：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6EA9191">
        <w:tc>
          <w:tcPr>
            <w:tcW w:w="2840" w:type="dxa"/>
          </w:tcPr>
          <w:p w14:paraId="637501F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列名</w:t>
            </w:r>
          </w:p>
        </w:tc>
        <w:tc>
          <w:tcPr>
            <w:tcW w:w="2841" w:type="dxa"/>
          </w:tcPr>
          <w:p w14:paraId="29617A0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意义</w:t>
            </w:r>
          </w:p>
        </w:tc>
        <w:tc>
          <w:tcPr>
            <w:tcW w:w="2841" w:type="dxa"/>
          </w:tcPr>
          <w:p w14:paraId="40568D4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计算逻辑</w:t>
            </w:r>
          </w:p>
        </w:tc>
      </w:tr>
      <w:tr w14:paraId="74B63671">
        <w:tc>
          <w:tcPr>
            <w:tcW w:w="2840" w:type="dxa"/>
          </w:tcPr>
          <w:p w14:paraId="67E96A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order_book_id</w:t>
            </w:r>
          </w:p>
        </w:tc>
        <w:tc>
          <w:tcPr>
            <w:tcW w:w="2841" w:type="dxa"/>
          </w:tcPr>
          <w:p w14:paraId="4CAB73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股票代码</w:t>
            </w:r>
          </w:p>
        </w:tc>
        <w:tc>
          <w:tcPr>
            <w:tcW w:w="2841" w:type="dxa"/>
          </w:tcPr>
          <w:p w14:paraId="2604BD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AB1DBC3">
        <w:tc>
          <w:tcPr>
            <w:tcW w:w="2840" w:type="dxa"/>
          </w:tcPr>
          <w:p w14:paraId="6E6863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</w:t>
            </w:r>
          </w:p>
        </w:tc>
        <w:tc>
          <w:tcPr>
            <w:tcW w:w="2841" w:type="dxa"/>
          </w:tcPr>
          <w:p w14:paraId="1171F6B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财报季度</w:t>
            </w:r>
          </w:p>
        </w:tc>
        <w:tc>
          <w:tcPr>
            <w:tcW w:w="2841" w:type="dxa"/>
          </w:tcPr>
          <w:p w14:paraId="5990BFA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E21929">
        <w:tc>
          <w:tcPr>
            <w:tcW w:w="2840" w:type="dxa"/>
          </w:tcPr>
          <w:p w14:paraId="29FECBF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vertAlign w:val="baseline"/>
                <w:lang w:val="en-US" w:eastAsia="zh-CN"/>
              </w:rPr>
              <w:t>info_date</w:t>
            </w:r>
          </w:p>
        </w:tc>
        <w:tc>
          <w:tcPr>
            <w:tcW w:w="2841" w:type="dxa"/>
          </w:tcPr>
          <w:p w14:paraId="41F3AB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财报公布日期</w:t>
            </w:r>
          </w:p>
        </w:tc>
        <w:tc>
          <w:tcPr>
            <w:tcW w:w="2841" w:type="dxa"/>
          </w:tcPr>
          <w:p w14:paraId="3913A1D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bookmarkEnd w:id="0"/>
      <w:tr w14:paraId="6E1E3203">
        <w:tc>
          <w:tcPr>
            <w:tcW w:w="2840" w:type="dxa"/>
          </w:tcPr>
          <w:p w14:paraId="725F95D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profit_before_tax</w:t>
            </w:r>
          </w:p>
        </w:tc>
        <w:tc>
          <w:tcPr>
            <w:tcW w:w="2841" w:type="dxa"/>
          </w:tcPr>
          <w:p w14:paraId="520C7C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公司税前利润</w:t>
            </w:r>
          </w:p>
        </w:tc>
        <w:tc>
          <w:tcPr>
            <w:tcW w:w="2841" w:type="dxa"/>
          </w:tcPr>
          <w:p w14:paraId="76515BB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CB5504">
        <w:tc>
          <w:tcPr>
            <w:tcW w:w="2840" w:type="dxa"/>
          </w:tcPr>
          <w:p w14:paraId="45CDF78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income_tax</w:t>
            </w:r>
          </w:p>
        </w:tc>
        <w:tc>
          <w:tcPr>
            <w:tcW w:w="2841" w:type="dxa"/>
          </w:tcPr>
          <w:p w14:paraId="30C543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所得税</w:t>
            </w:r>
          </w:p>
        </w:tc>
        <w:tc>
          <w:tcPr>
            <w:tcW w:w="2841" w:type="dxa"/>
          </w:tcPr>
          <w:p w14:paraId="7A6E38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F3C4CDC">
        <w:tc>
          <w:tcPr>
            <w:tcW w:w="2840" w:type="dxa"/>
          </w:tcPr>
          <w:p w14:paraId="5733BB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minority_profit</w:t>
            </w:r>
          </w:p>
        </w:tc>
        <w:tc>
          <w:tcPr>
            <w:tcW w:w="2841" w:type="dxa"/>
          </w:tcPr>
          <w:p w14:paraId="11DEEA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少数股东损益</w:t>
            </w:r>
          </w:p>
        </w:tc>
        <w:tc>
          <w:tcPr>
            <w:tcW w:w="2841" w:type="dxa"/>
          </w:tcPr>
          <w:p w14:paraId="7CD246D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</w:tr>
      <w:tr w14:paraId="2BE1D998">
        <w:tc>
          <w:tcPr>
            <w:tcW w:w="2840" w:type="dxa"/>
          </w:tcPr>
          <w:p w14:paraId="7537127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other_income</w:t>
            </w:r>
          </w:p>
        </w:tc>
        <w:tc>
          <w:tcPr>
            <w:tcW w:w="2841" w:type="dxa"/>
          </w:tcPr>
          <w:p w14:paraId="45CAD49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其他综合收益（税后）</w:t>
            </w:r>
          </w:p>
        </w:tc>
        <w:tc>
          <w:tcPr>
            <w:tcW w:w="2841" w:type="dxa"/>
          </w:tcPr>
          <w:p w14:paraId="70F4B0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</w:t>
            </w:r>
          </w:p>
        </w:tc>
      </w:tr>
    </w:tbl>
    <w:p w14:paraId="318606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请使用附件数据，计算出各家公司单季度扣非后归母净利润的日数据（交易日）。即如无新报告公布（按照公布日期），维持上一交易日数据，若有数据更新，则使用新的数据。</w:t>
      </w:r>
    </w:p>
    <w:p w14:paraId="562CD9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940"/>
        <w:gridCol w:w="889"/>
        <w:gridCol w:w="901"/>
        <w:gridCol w:w="834"/>
        <w:gridCol w:w="946"/>
        <w:gridCol w:w="947"/>
        <w:gridCol w:w="928"/>
        <w:gridCol w:w="928"/>
      </w:tblGrid>
      <w:tr w14:paraId="360D58A7">
        <w:tc>
          <w:tcPr>
            <w:tcW w:w="1209" w:type="dxa"/>
          </w:tcPr>
          <w:p w14:paraId="5680FC10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股票代码</w:t>
            </w:r>
          </w:p>
        </w:tc>
        <w:tc>
          <w:tcPr>
            <w:tcW w:w="941" w:type="dxa"/>
          </w:tcPr>
          <w:p w14:paraId="59664E6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交易日</w:t>
            </w:r>
          </w:p>
        </w:tc>
        <w:tc>
          <w:tcPr>
            <w:tcW w:w="893" w:type="dxa"/>
          </w:tcPr>
          <w:p w14:paraId="6F63FF68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最新财报季</w:t>
            </w:r>
          </w:p>
        </w:tc>
        <w:tc>
          <w:tcPr>
            <w:tcW w:w="904" w:type="dxa"/>
          </w:tcPr>
          <w:p w14:paraId="408B36B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最新净利润</w:t>
            </w:r>
          </w:p>
        </w:tc>
        <w:tc>
          <w:tcPr>
            <w:tcW w:w="841" w:type="dxa"/>
          </w:tcPr>
          <w:p w14:paraId="31E9B24A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向前一各季度净利润</w:t>
            </w:r>
          </w:p>
        </w:tc>
        <w:tc>
          <w:tcPr>
            <w:tcW w:w="929" w:type="dxa"/>
          </w:tcPr>
          <w:p w14:paraId="5A7E64B5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向前两个季度净利润</w:t>
            </w:r>
          </w:p>
        </w:tc>
        <w:tc>
          <w:tcPr>
            <w:tcW w:w="947" w:type="dxa"/>
          </w:tcPr>
          <w:p w14:paraId="5F4EB394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向前三个季度净利润</w:t>
            </w:r>
          </w:p>
        </w:tc>
        <w:tc>
          <w:tcPr>
            <w:tcW w:w="929" w:type="dxa"/>
          </w:tcPr>
          <w:p w14:paraId="1F42496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向前四个季度净利润</w:t>
            </w:r>
          </w:p>
        </w:tc>
        <w:tc>
          <w:tcPr>
            <w:tcW w:w="929" w:type="dxa"/>
          </w:tcPr>
          <w:p w14:paraId="55893B0E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15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vertAlign w:val="baseline"/>
                <w:lang w:val="en-US" w:eastAsia="zh-CN"/>
              </w:rPr>
              <w:t>向前五个季度净利润</w:t>
            </w:r>
          </w:p>
        </w:tc>
      </w:tr>
      <w:tr w14:paraId="7535ABA6">
        <w:tc>
          <w:tcPr>
            <w:tcW w:w="1209" w:type="dxa"/>
          </w:tcPr>
          <w:p w14:paraId="36238C5A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300182.XSHE</w:t>
            </w:r>
          </w:p>
        </w:tc>
        <w:tc>
          <w:tcPr>
            <w:tcW w:w="941" w:type="dxa"/>
          </w:tcPr>
          <w:p w14:paraId="60F33E17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20251229</w:t>
            </w:r>
          </w:p>
        </w:tc>
        <w:tc>
          <w:tcPr>
            <w:tcW w:w="893" w:type="dxa"/>
          </w:tcPr>
          <w:p w14:paraId="09F22A8F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2025q3</w:t>
            </w:r>
          </w:p>
        </w:tc>
        <w:tc>
          <w:tcPr>
            <w:tcW w:w="904" w:type="dxa"/>
          </w:tcPr>
          <w:p w14:paraId="2D2C4112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6679.89</w:t>
            </w:r>
          </w:p>
        </w:tc>
        <w:tc>
          <w:tcPr>
            <w:tcW w:w="841" w:type="dxa"/>
          </w:tcPr>
          <w:p w14:paraId="00A3D597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1425</w:t>
            </w:r>
          </w:p>
        </w:tc>
        <w:tc>
          <w:tcPr>
            <w:tcW w:w="929" w:type="dxa"/>
          </w:tcPr>
          <w:p w14:paraId="34E71B37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13110.17</w:t>
            </w:r>
          </w:p>
        </w:tc>
        <w:tc>
          <w:tcPr>
            <w:tcW w:w="947" w:type="dxa"/>
          </w:tcPr>
          <w:p w14:paraId="1E2AB589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-10697.85</w:t>
            </w:r>
          </w:p>
        </w:tc>
        <w:tc>
          <w:tcPr>
            <w:tcW w:w="929" w:type="dxa"/>
          </w:tcPr>
          <w:p w14:paraId="62CCEC91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11181.86</w:t>
            </w:r>
          </w:p>
        </w:tc>
        <w:tc>
          <w:tcPr>
            <w:tcW w:w="929" w:type="dxa"/>
          </w:tcPr>
          <w:p w14:paraId="4BB46087">
            <w:pPr>
              <w:numPr>
                <w:ilvl w:val="0"/>
                <w:numId w:val="0"/>
              </w:numP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13349.83</w:t>
            </w:r>
          </w:p>
        </w:tc>
      </w:tr>
      <w:tr w14:paraId="4209A368">
        <w:tc>
          <w:tcPr>
            <w:tcW w:w="1209" w:type="dxa"/>
            <w:shd w:val="clear" w:color="auto" w:fill="auto"/>
            <w:vAlign w:val="top"/>
          </w:tcPr>
          <w:p w14:paraId="41B504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300182.XSHE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3E38EB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20251230</w:t>
            </w:r>
          </w:p>
        </w:tc>
        <w:tc>
          <w:tcPr>
            <w:tcW w:w="893" w:type="dxa"/>
            <w:shd w:val="clear" w:color="auto" w:fill="auto"/>
            <w:vAlign w:val="top"/>
          </w:tcPr>
          <w:p w14:paraId="6591F6F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2025q3</w:t>
            </w:r>
          </w:p>
        </w:tc>
        <w:tc>
          <w:tcPr>
            <w:tcW w:w="904" w:type="dxa"/>
            <w:shd w:val="clear" w:color="auto" w:fill="auto"/>
            <w:vAlign w:val="top"/>
          </w:tcPr>
          <w:p w14:paraId="06B5707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6679.89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37D25D5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1425</w:t>
            </w:r>
          </w:p>
        </w:tc>
        <w:tc>
          <w:tcPr>
            <w:tcW w:w="929" w:type="dxa"/>
            <w:shd w:val="clear" w:color="auto" w:fill="auto"/>
            <w:vAlign w:val="top"/>
          </w:tcPr>
          <w:p w14:paraId="1E297F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13110.17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E1558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-10697.85</w:t>
            </w:r>
          </w:p>
        </w:tc>
        <w:tc>
          <w:tcPr>
            <w:tcW w:w="929" w:type="dxa"/>
            <w:shd w:val="clear" w:color="auto" w:fill="auto"/>
            <w:vAlign w:val="top"/>
          </w:tcPr>
          <w:p w14:paraId="036D5AB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11181.86</w:t>
            </w:r>
          </w:p>
        </w:tc>
        <w:tc>
          <w:tcPr>
            <w:tcW w:w="929" w:type="dxa"/>
            <w:shd w:val="clear" w:color="auto" w:fill="auto"/>
            <w:vAlign w:val="top"/>
          </w:tcPr>
          <w:p w14:paraId="419607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13349.83</w:t>
            </w:r>
          </w:p>
        </w:tc>
      </w:tr>
      <w:tr w14:paraId="73CF126E">
        <w:tc>
          <w:tcPr>
            <w:tcW w:w="1209" w:type="dxa"/>
            <w:shd w:val="clear" w:color="auto" w:fill="auto"/>
            <w:vAlign w:val="top"/>
          </w:tcPr>
          <w:p w14:paraId="4308675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300182.XSHE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1FB12A0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20251231</w:t>
            </w:r>
          </w:p>
        </w:tc>
        <w:tc>
          <w:tcPr>
            <w:tcW w:w="893" w:type="dxa"/>
            <w:shd w:val="clear" w:color="auto" w:fill="auto"/>
            <w:vAlign w:val="top"/>
          </w:tcPr>
          <w:p w14:paraId="0DBFE1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2025q3</w:t>
            </w:r>
          </w:p>
        </w:tc>
        <w:tc>
          <w:tcPr>
            <w:tcW w:w="904" w:type="dxa"/>
            <w:shd w:val="clear" w:color="auto" w:fill="auto"/>
            <w:vAlign w:val="top"/>
          </w:tcPr>
          <w:p w14:paraId="39ED3F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6679.89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58558A0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1425</w:t>
            </w:r>
          </w:p>
        </w:tc>
        <w:tc>
          <w:tcPr>
            <w:tcW w:w="929" w:type="dxa"/>
            <w:shd w:val="clear" w:color="auto" w:fill="auto"/>
            <w:vAlign w:val="top"/>
          </w:tcPr>
          <w:p w14:paraId="0423519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highlight w:val="yellow"/>
                <w:vertAlign w:val="baseline"/>
                <w:lang w:val="en-US" w:eastAsia="zh-CN"/>
              </w:rPr>
              <w:t>-13110.17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C0E4E4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-10697.85</w:t>
            </w:r>
          </w:p>
        </w:tc>
        <w:tc>
          <w:tcPr>
            <w:tcW w:w="929" w:type="dxa"/>
            <w:shd w:val="clear" w:color="auto" w:fill="auto"/>
            <w:vAlign w:val="top"/>
          </w:tcPr>
          <w:p w14:paraId="05708C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11181.86</w:t>
            </w:r>
          </w:p>
        </w:tc>
        <w:tc>
          <w:tcPr>
            <w:tcW w:w="929" w:type="dxa"/>
            <w:shd w:val="clear" w:color="auto" w:fill="auto"/>
            <w:vAlign w:val="top"/>
          </w:tcPr>
          <w:p w14:paraId="52C9AB3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13349.83</w:t>
            </w:r>
          </w:p>
        </w:tc>
      </w:tr>
    </w:tbl>
    <w:p w14:paraId="3B2EF7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假设，在2025年12月</w:t>
      </w:r>
      <w:r>
        <w:rPr>
          <w:rFonts w:hint="default"/>
          <w:lang w:val="en-US" w:eastAsia="zh-CN"/>
        </w:rPr>
        <w:t>31</w:t>
      </w:r>
      <w:r>
        <w:rPr>
          <w:rFonts w:hint="eastAsia"/>
          <w:lang w:val="en-US" w:eastAsia="zh-CN"/>
        </w:rPr>
        <w:t>日，在新的财报公布中，对于向前三个季度的数据有修正，则需要在新的交易日做对应的调整。</w:t>
      </w:r>
    </w:p>
    <w:p w14:paraId="7D1552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附件说明：</w:t>
      </w:r>
    </w:p>
    <w:p w14:paraId="01B185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1）交易日信息</w:t>
      </w:r>
    </w:p>
    <w:p w14:paraId="38ACC4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2）公司净利润表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FD01D"/>
    <w:multiLevelType w:val="singleLevel"/>
    <w:tmpl w:val="3FFFD01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E4659"/>
    <w:rsid w:val="5F8DFD78"/>
    <w:rsid w:val="67DCB635"/>
    <w:rsid w:val="6F6FFCF5"/>
    <w:rsid w:val="7C7D9CD3"/>
    <w:rsid w:val="7EDE3661"/>
    <w:rsid w:val="7FFE67BC"/>
    <w:rsid w:val="BFDD5546"/>
    <w:rsid w:val="BFF7296D"/>
    <w:rsid w:val="DEDAD016"/>
    <w:rsid w:val="FFEE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2026-01-15T13:56:00Z</dcterms:created>
  <dc:creator>WPS_623146054</dc:creator>
  <cp:lastModifiedBy>Nick</cp:lastModifiedBy>
  <dcterms:modified xsi:type="dcterms:W3CDTF">2026-04-08T10:15:54Z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89F18CEA48ACCB2A85A067690035D087_41</vt:lpwstr>
  </property>
</Properties>
</file>