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768B2E">
      <w:pPr>
        <w:rPr>
          <w:rFonts w:hint="eastAsia" w:ascii="苹方" w:hAnsi="苹方" w:eastAsia="苹方" w:cs="苹方"/>
          <w:lang w:val="en-US" w:eastAsia="zh-CN"/>
        </w:rPr>
      </w:pPr>
      <w:r>
        <w:rPr>
          <w:rFonts w:hint="eastAsia" w:ascii="苹方" w:hAnsi="苹方" w:eastAsia="苹方" w:cs="苹方"/>
          <w:lang w:val="en-US" w:eastAsia="zh-CN"/>
        </w:rPr>
        <w:t>题目</w:t>
      </w:r>
    </w:p>
    <w:p w14:paraId="2E675B87">
      <w:pPr>
        <w:numPr>
          <w:ilvl w:val="0"/>
          <w:numId w:val="1"/>
        </w:numPr>
        <w:rPr>
          <w:rFonts w:hint="eastAsia" w:ascii="苹方" w:hAnsi="苹方" w:eastAsia="苹方" w:cs="苹方"/>
          <w:lang w:val="en-US" w:eastAsia="zh-CN"/>
        </w:rPr>
      </w:pPr>
      <w:bookmarkStart w:id="0" w:name="_GoBack"/>
      <w:r>
        <w:rPr>
          <w:rFonts w:hint="eastAsia" w:ascii="苹方" w:hAnsi="苹方" w:eastAsia="苹方" w:cs="苹方"/>
          <w:lang w:val="en-US" w:eastAsia="zh-CN"/>
        </w:rPr>
        <w:t>附件中为2020第一季度起，所有股票的利润表数据。包含列如下：</w:t>
      </w:r>
    </w:p>
    <w:bookmarkEnd w:id="0"/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6EA9191">
        <w:tc>
          <w:tcPr>
            <w:tcW w:w="2840" w:type="dxa"/>
          </w:tcPr>
          <w:p w14:paraId="637501F7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列名</w:t>
            </w:r>
          </w:p>
        </w:tc>
        <w:tc>
          <w:tcPr>
            <w:tcW w:w="2841" w:type="dxa"/>
          </w:tcPr>
          <w:p w14:paraId="29617A09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意义</w:t>
            </w:r>
          </w:p>
        </w:tc>
        <w:tc>
          <w:tcPr>
            <w:tcW w:w="2841" w:type="dxa"/>
          </w:tcPr>
          <w:p w14:paraId="40568D4B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计算逻辑</w:t>
            </w:r>
          </w:p>
        </w:tc>
      </w:tr>
      <w:tr w14:paraId="74B63671">
        <w:tc>
          <w:tcPr>
            <w:tcW w:w="2840" w:type="dxa"/>
          </w:tcPr>
          <w:p w14:paraId="67E96AFA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order_book_id</w:t>
            </w:r>
          </w:p>
        </w:tc>
        <w:tc>
          <w:tcPr>
            <w:tcW w:w="2841" w:type="dxa"/>
          </w:tcPr>
          <w:p w14:paraId="4CAB7327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股票代码</w:t>
            </w:r>
          </w:p>
        </w:tc>
        <w:tc>
          <w:tcPr>
            <w:tcW w:w="2841" w:type="dxa"/>
          </w:tcPr>
          <w:p w14:paraId="2604BDD5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</w:p>
        </w:tc>
      </w:tr>
      <w:tr w14:paraId="0AB1DBC3">
        <w:tc>
          <w:tcPr>
            <w:tcW w:w="2840" w:type="dxa"/>
          </w:tcPr>
          <w:p w14:paraId="6E6863A5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quarter</w:t>
            </w:r>
          </w:p>
        </w:tc>
        <w:tc>
          <w:tcPr>
            <w:tcW w:w="2841" w:type="dxa"/>
          </w:tcPr>
          <w:p w14:paraId="1171F6BF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财报季度</w:t>
            </w:r>
          </w:p>
        </w:tc>
        <w:tc>
          <w:tcPr>
            <w:tcW w:w="2841" w:type="dxa"/>
          </w:tcPr>
          <w:p w14:paraId="5990BFAA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</w:p>
        </w:tc>
      </w:tr>
      <w:tr w14:paraId="28E21929">
        <w:tc>
          <w:tcPr>
            <w:tcW w:w="2840" w:type="dxa"/>
          </w:tcPr>
          <w:p w14:paraId="29FECBF2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info_date</w:t>
            </w:r>
          </w:p>
        </w:tc>
        <w:tc>
          <w:tcPr>
            <w:tcW w:w="2841" w:type="dxa"/>
          </w:tcPr>
          <w:p w14:paraId="41F3ABC4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财报公布日期</w:t>
            </w:r>
          </w:p>
        </w:tc>
        <w:tc>
          <w:tcPr>
            <w:tcW w:w="2841" w:type="dxa"/>
          </w:tcPr>
          <w:p w14:paraId="3913A1DF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</w:p>
        </w:tc>
      </w:tr>
      <w:tr w14:paraId="6E1E3203">
        <w:tc>
          <w:tcPr>
            <w:tcW w:w="2840" w:type="dxa"/>
          </w:tcPr>
          <w:p w14:paraId="725F95D7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profit_before_tax</w:t>
            </w:r>
          </w:p>
        </w:tc>
        <w:tc>
          <w:tcPr>
            <w:tcW w:w="2841" w:type="dxa"/>
          </w:tcPr>
          <w:p w14:paraId="520C7CBC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公司税前利润</w:t>
            </w:r>
          </w:p>
        </w:tc>
        <w:tc>
          <w:tcPr>
            <w:tcW w:w="2841" w:type="dxa"/>
          </w:tcPr>
          <w:p w14:paraId="76515BB5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</w:p>
        </w:tc>
      </w:tr>
      <w:tr w14:paraId="21CB5504">
        <w:tc>
          <w:tcPr>
            <w:tcW w:w="2840" w:type="dxa"/>
          </w:tcPr>
          <w:p w14:paraId="45CDF78A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income_tax</w:t>
            </w:r>
          </w:p>
        </w:tc>
        <w:tc>
          <w:tcPr>
            <w:tcW w:w="2841" w:type="dxa"/>
          </w:tcPr>
          <w:p w14:paraId="30C54347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所得税</w:t>
            </w:r>
          </w:p>
        </w:tc>
        <w:tc>
          <w:tcPr>
            <w:tcW w:w="2841" w:type="dxa"/>
          </w:tcPr>
          <w:p w14:paraId="7A6E3843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-</w:t>
            </w:r>
          </w:p>
        </w:tc>
      </w:tr>
      <w:tr w14:paraId="2F3C4CDC">
        <w:tc>
          <w:tcPr>
            <w:tcW w:w="2840" w:type="dxa"/>
          </w:tcPr>
          <w:p w14:paraId="5733BB53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minority_profit</w:t>
            </w:r>
          </w:p>
        </w:tc>
        <w:tc>
          <w:tcPr>
            <w:tcW w:w="2841" w:type="dxa"/>
          </w:tcPr>
          <w:p w14:paraId="11DEEAF5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少数股东损益</w:t>
            </w:r>
          </w:p>
        </w:tc>
        <w:tc>
          <w:tcPr>
            <w:tcW w:w="2841" w:type="dxa"/>
          </w:tcPr>
          <w:p w14:paraId="7CD246D7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-</w:t>
            </w:r>
          </w:p>
        </w:tc>
      </w:tr>
      <w:tr w14:paraId="2BE1D998">
        <w:tc>
          <w:tcPr>
            <w:tcW w:w="2840" w:type="dxa"/>
          </w:tcPr>
          <w:p w14:paraId="75371275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other_income</w:t>
            </w:r>
          </w:p>
        </w:tc>
        <w:tc>
          <w:tcPr>
            <w:tcW w:w="2841" w:type="dxa"/>
          </w:tcPr>
          <w:p w14:paraId="45CAD49F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其他综合收益（税后）</w:t>
            </w:r>
          </w:p>
        </w:tc>
        <w:tc>
          <w:tcPr>
            <w:tcW w:w="2841" w:type="dxa"/>
          </w:tcPr>
          <w:p w14:paraId="70F4B0C1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vertAlign w:val="baseline"/>
                <w:lang w:val="en-US" w:eastAsia="zh-CN"/>
              </w:rPr>
              <w:t>+</w:t>
            </w:r>
          </w:p>
        </w:tc>
      </w:tr>
    </w:tbl>
    <w:p w14:paraId="318606C0">
      <w:pPr>
        <w:numPr>
          <w:ilvl w:val="0"/>
          <w:numId w:val="0"/>
        </w:numPr>
        <w:rPr>
          <w:rFonts w:hint="eastAsia" w:ascii="苹方" w:hAnsi="苹方" w:eastAsia="苹方" w:cs="苹方"/>
          <w:lang w:val="en-US" w:eastAsia="zh-CN"/>
        </w:rPr>
      </w:pPr>
      <w:r>
        <w:rPr>
          <w:rFonts w:hint="eastAsia" w:ascii="苹方" w:hAnsi="苹方" w:eastAsia="苹方" w:cs="苹方"/>
          <w:lang w:val="en-US" w:eastAsia="zh-CN"/>
        </w:rPr>
        <w:t>请使用附件数据，计算出各家公司单季度扣非后归母净利润的日数据（交易日）。即如无新报告公布（按照公布日期），维持上一交易日数据，若有数据更新，则使用新的数据。</w:t>
      </w:r>
    </w:p>
    <w:p w14:paraId="562CD920">
      <w:pPr>
        <w:numPr>
          <w:ilvl w:val="0"/>
          <w:numId w:val="0"/>
        </w:numPr>
        <w:rPr>
          <w:rFonts w:hint="eastAsia" w:ascii="苹方" w:hAnsi="苹方" w:eastAsia="苹方" w:cs="苹方"/>
          <w:lang w:val="en-US" w:eastAsia="zh-CN"/>
        </w:rPr>
      </w:pPr>
      <w:r>
        <w:rPr>
          <w:rFonts w:hint="eastAsia" w:ascii="苹方" w:hAnsi="苹方" w:eastAsia="苹方" w:cs="苹方"/>
          <w:lang w:val="en-US" w:eastAsia="zh-CN"/>
        </w:rPr>
        <w:t>输出格式如下：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3"/>
        <w:gridCol w:w="953"/>
        <w:gridCol w:w="882"/>
        <w:gridCol w:w="896"/>
        <w:gridCol w:w="813"/>
        <w:gridCol w:w="925"/>
        <w:gridCol w:w="987"/>
        <w:gridCol w:w="916"/>
        <w:gridCol w:w="927"/>
      </w:tblGrid>
      <w:tr w14:paraId="360D58A7">
        <w:tc>
          <w:tcPr>
            <w:tcW w:w="1209" w:type="dxa"/>
          </w:tcPr>
          <w:p w14:paraId="5680FC10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  <w:t>股票代码</w:t>
            </w:r>
          </w:p>
        </w:tc>
        <w:tc>
          <w:tcPr>
            <w:tcW w:w="941" w:type="dxa"/>
          </w:tcPr>
          <w:p w14:paraId="59664E69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  <w:t>交易日</w:t>
            </w:r>
          </w:p>
        </w:tc>
        <w:tc>
          <w:tcPr>
            <w:tcW w:w="893" w:type="dxa"/>
          </w:tcPr>
          <w:p w14:paraId="6F63FF68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  <w:t>最新财报季</w:t>
            </w:r>
          </w:p>
        </w:tc>
        <w:tc>
          <w:tcPr>
            <w:tcW w:w="904" w:type="dxa"/>
          </w:tcPr>
          <w:p w14:paraId="408B36B9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  <w:t>最新净利润</w:t>
            </w:r>
          </w:p>
        </w:tc>
        <w:tc>
          <w:tcPr>
            <w:tcW w:w="841" w:type="dxa"/>
          </w:tcPr>
          <w:p w14:paraId="31E9B24A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  <w:t>向前一各季度净利润</w:t>
            </w:r>
          </w:p>
        </w:tc>
        <w:tc>
          <w:tcPr>
            <w:tcW w:w="929" w:type="dxa"/>
          </w:tcPr>
          <w:p w14:paraId="5A7E64B5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  <w:t>向前两个季度净利润</w:t>
            </w:r>
          </w:p>
        </w:tc>
        <w:tc>
          <w:tcPr>
            <w:tcW w:w="947" w:type="dxa"/>
          </w:tcPr>
          <w:p w14:paraId="5F4EB394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  <w:t>向前三个季度净利润</w:t>
            </w:r>
          </w:p>
        </w:tc>
        <w:tc>
          <w:tcPr>
            <w:tcW w:w="929" w:type="dxa"/>
          </w:tcPr>
          <w:p w14:paraId="1F424963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  <w:t>向前四个季度净利润</w:t>
            </w:r>
          </w:p>
        </w:tc>
        <w:tc>
          <w:tcPr>
            <w:tcW w:w="929" w:type="dxa"/>
          </w:tcPr>
          <w:p w14:paraId="55893B0E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b/>
                <w:bCs/>
                <w:sz w:val="15"/>
                <w:szCs w:val="18"/>
                <w:vertAlign w:val="baseline"/>
                <w:lang w:val="en-US" w:eastAsia="zh-CN"/>
              </w:rPr>
              <w:t>向前五个季度净利润</w:t>
            </w:r>
          </w:p>
        </w:tc>
      </w:tr>
      <w:tr w14:paraId="7535ABA6">
        <w:tc>
          <w:tcPr>
            <w:tcW w:w="1209" w:type="dxa"/>
          </w:tcPr>
          <w:p w14:paraId="36238C5A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300182.XSHE</w:t>
            </w:r>
          </w:p>
        </w:tc>
        <w:tc>
          <w:tcPr>
            <w:tcW w:w="941" w:type="dxa"/>
          </w:tcPr>
          <w:p w14:paraId="60F33E17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20251229</w:t>
            </w:r>
          </w:p>
        </w:tc>
        <w:tc>
          <w:tcPr>
            <w:tcW w:w="893" w:type="dxa"/>
          </w:tcPr>
          <w:p w14:paraId="09F22A8F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2025q3</w:t>
            </w:r>
          </w:p>
        </w:tc>
        <w:tc>
          <w:tcPr>
            <w:tcW w:w="904" w:type="dxa"/>
          </w:tcPr>
          <w:p w14:paraId="2D2C4112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6679.89</w:t>
            </w:r>
          </w:p>
        </w:tc>
        <w:tc>
          <w:tcPr>
            <w:tcW w:w="841" w:type="dxa"/>
          </w:tcPr>
          <w:p w14:paraId="00A3D597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1425</w:t>
            </w:r>
          </w:p>
        </w:tc>
        <w:tc>
          <w:tcPr>
            <w:tcW w:w="929" w:type="dxa"/>
          </w:tcPr>
          <w:p w14:paraId="34E71B37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13110.17</w:t>
            </w:r>
          </w:p>
        </w:tc>
        <w:tc>
          <w:tcPr>
            <w:tcW w:w="947" w:type="dxa"/>
          </w:tcPr>
          <w:p w14:paraId="1E2AB589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-10697.85</w:t>
            </w:r>
          </w:p>
        </w:tc>
        <w:tc>
          <w:tcPr>
            <w:tcW w:w="929" w:type="dxa"/>
          </w:tcPr>
          <w:p w14:paraId="62CCEC91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11181.86</w:t>
            </w:r>
          </w:p>
        </w:tc>
        <w:tc>
          <w:tcPr>
            <w:tcW w:w="929" w:type="dxa"/>
          </w:tcPr>
          <w:p w14:paraId="4BB46087">
            <w:pPr>
              <w:numPr>
                <w:ilvl w:val="0"/>
                <w:numId w:val="0"/>
              </w:numP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13349.83</w:t>
            </w:r>
          </w:p>
        </w:tc>
      </w:tr>
      <w:tr w14:paraId="4209A368">
        <w:tc>
          <w:tcPr>
            <w:tcW w:w="1209" w:type="dxa"/>
            <w:shd w:val="clear" w:color="auto" w:fill="auto"/>
            <w:vAlign w:val="top"/>
          </w:tcPr>
          <w:p w14:paraId="41B5041C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300182.XSHE</w:t>
            </w:r>
          </w:p>
        </w:tc>
        <w:tc>
          <w:tcPr>
            <w:tcW w:w="941" w:type="dxa"/>
            <w:shd w:val="clear" w:color="auto" w:fill="auto"/>
            <w:vAlign w:val="top"/>
          </w:tcPr>
          <w:p w14:paraId="3E38EBB4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20251230</w:t>
            </w:r>
          </w:p>
        </w:tc>
        <w:tc>
          <w:tcPr>
            <w:tcW w:w="893" w:type="dxa"/>
            <w:shd w:val="clear" w:color="auto" w:fill="auto"/>
            <w:vAlign w:val="top"/>
          </w:tcPr>
          <w:p w14:paraId="6591F6F1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2025q3</w:t>
            </w:r>
          </w:p>
        </w:tc>
        <w:tc>
          <w:tcPr>
            <w:tcW w:w="904" w:type="dxa"/>
            <w:shd w:val="clear" w:color="auto" w:fill="auto"/>
            <w:vAlign w:val="top"/>
          </w:tcPr>
          <w:p w14:paraId="06B5707D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6679.89</w:t>
            </w:r>
          </w:p>
        </w:tc>
        <w:tc>
          <w:tcPr>
            <w:tcW w:w="841" w:type="dxa"/>
            <w:shd w:val="clear" w:color="auto" w:fill="auto"/>
            <w:vAlign w:val="top"/>
          </w:tcPr>
          <w:p w14:paraId="37D25D5F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1425</w:t>
            </w:r>
          </w:p>
        </w:tc>
        <w:tc>
          <w:tcPr>
            <w:tcW w:w="929" w:type="dxa"/>
            <w:shd w:val="clear" w:color="auto" w:fill="auto"/>
            <w:vAlign w:val="top"/>
          </w:tcPr>
          <w:p w14:paraId="1E297FE8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13110.17</w:t>
            </w:r>
          </w:p>
        </w:tc>
        <w:tc>
          <w:tcPr>
            <w:tcW w:w="947" w:type="dxa"/>
            <w:shd w:val="clear" w:color="auto" w:fill="auto"/>
            <w:vAlign w:val="top"/>
          </w:tcPr>
          <w:p w14:paraId="1E15581B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-10697.85</w:t>
            </w:r>
          </w:p>
        </w:tc>
        <w:tc>
          <w:tcPr>
            <w:tcW w:w="929" w:type="dxa"/>
            <w:shd w:val="clear" w:color="auto" w:fill="auto"/>
            <w:vAlign w:val="top"/>
          </w:tcPr>
          <w:p w14:paraId="036D5AB3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11181.86</w:t>
            </w:r>
          </w:p>
        </w:tc>
        <w:tc>
          <w:tcPr>
            <w:tcW w:w="929" w:type="dxa"/>
            <w:shd w:val="clear" w:color="auto" w:fill="auto"/>
            <w:vAlign w:val="top"/>
          </w:tcPr>
          <w:p w14:paraId="41960740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13349.83</w:t>
            </w:r>
          </w:p>
        </w:tc>
      </w:tr>
      <w:tr w14:paraId="73CF126E">
        <w:tc>
          <w:tcPr>
            <w:tcW w:w="1209" w:type="dxa"/>
            <w:shd w:val="clear" w:color="auto" w:fill="auto"/>
            <w:vAlign w:val="top"/>
          </w:tcPr>
          <w:p w14:paraId="43086750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300182.XSHE</w:t>
            </w:r>
          </w:p>
        </w:tc>
        <w:tc>
          <w:tcPr>
            <w:tcW w:w="941" w:type="dxa"/>
            <w:shd w:val="clear" w:color="auto" w:fill="auto"/>
            <w:vAlign w:val="top"/>
          </w:tcPr>
          <w:p w14:paraId="1FB12A0D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20251231</w:t>
            </w:r>
          </w:p>
        </w:tc>
        <w:tc>
          <w:tcPr>
            <w:tcW w:w="893" w:type="dxa"/>
            <w:shd w:val="clear" w:color="auto" w:fill="auto"/>
            <w:vAlign w:val="top"/>
          </w:tcPr>
          <w:p w14:paraId="0DBFE154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2025q3</w:t>
            </w:r>
          </w:p>
        </w:tc>
        <w:tc>
          <w:tcPr>
            <w:tcW w:w="904" w:type="dxa"/>
            <w:shd w:val="clear" w:color="auto" w:fill="auto"/>
            <w:vAlign w:val="top"/>
          </w:tcPr>
          <w:p w14:paraId="39ED3FC7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6679.89</w:t>
            </w:r>
          </w:p>
        </w:tc>
        <w:tc>
          <w:tcPr>
            <w:tcW w:w="841" w:type="dxa"/>
            <w:shd w:val="clear" w:color="auto" w:fill="auto"/>
            <w:vAlign w:val="top"/>
          </w:tcPr>
          <w:p w14:paraId="58558A01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1425</w:t>
            </w:r>
          </w:p>
        </w:tc>
        <w:tc>
          <w:tcPr>
            <w:tcW w:w="929" w:type="dxa"/>
            <w:shd w:val="clear" w:color="auto" w:fill="auto"/>
            <w:vAlign w:val="top"/>
          </w:tcPr>
          <w:p w14:paraId="04235192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highlight w:val="yellow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highlight w:val="yellow"/>
                <w:vertAlign w:val="baseline"/>
                <w:lang w:val="en-US" w:eastAsia="zh-CN"/>
              </w:rPr>
              <w:t>-13110.17</w:t>
            </w:r>
          </w:p>
        </w:tc>
        <w:tc>
          <w:tcPr>
            <w:tcW w:w="947" w:type="dxa"/>
            <w:shd w:val="clear" w:color="auto" w:fill="auto"/>
            <w:vAlign w:val="top"/>
          </w:tcPr>
          <w:p w14:paraId="6C0E4E47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-10697.85</w:t>
            </w:r>
          </w:p>
        </w:tc>
        <w:tc>
          <w:tcPr>
            <w:tcW w:w="929" w:type="dxa"/>
            <w:shd w:val="clear" w:color="auto" w:fill="auto"/>
            <w:vAlign w:val="top"/>
          </w:tcPr>
          <w:p w14:paraId="05708CDC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11181.86</w:t>
            </w:r>
          </w:p>
        </w:tc>
        <w:tc>
          <w:tcPr>
            <w:tcW w:w="929" w:type="dxa"/>
            <w:shd w:val="clear" w:color="auto" w:fill="auto"/>
            <w:vAlign w:val="top"/>
          </w:tcPr>
          <w:p w14:paraId="52C9AB38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="苹方" w:hAnsi="苹方" w:eastAsia="苹方" w:cs="苹方"/>
                <w:kern w:val="2"/>
                <w:sz w:val="16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苹方" w:hAnsi="苹方" w:eastAsia="苹方" w:cs="苹方"/>
                <w:sz w:val="16"/>
                <w:szCs w:val="20"/>
                <w:vertAlign w:val="baseline"/>
                <w:lang w:val="en-US" w:eastAsia="zh-CN"/>
              </w:rPr>
              <w:t>13349.83</w:t>
            </w:r>
          </w:p>
        </w:tc>
      </w:tr>
    </w:tbl>
    <w:p w14:paraId="3B2EF7E6">
      <w:pPr>
        <w:numPr>
          <w:ilvl w:val="0"/>
          <w:numId w:val="0"/>
        </w:numPr>
        <w:rPr>
          <w:rFonts w:hint="eastAsia" w:ascii="苹方" w:hAnsi="苹方" w:eastAsia="苹方" w:cs="苹方"/>
          <w:lang w:val="en-US" w:eastAsia="zh-CN"/>
        </w:rPr>
      </w:pPr>
      <w:r>
        <w:rPr>
          <w:rFonts w:hint="eastAsia" w:ascii="苹方" w:hAnsi="苹方" w:eastAsia="苹方" w:cs="苹方"/>
          <w:lang w:val="en-US" w:eastAsia="zh-CN"/>
        </w:rPr>
        <w:t>假设，在2025年12月</w:t>
      </w:r>
      <w:r>
        <w:rPr>
          <w:rFonts w:hint="eastAsia" w:ascii="苹方" w:hAnsi="苹方" w:eastAsia="苹方" w:cs="苹方"/>
          <w:lang w:val="en-US" w:eastAsia="zh-CN"/>
        </w:rPr>
        <w:t>31</w:t>
      </w:r>
      <w:r>
        <w:rPr>
          <w:rFonts w:hint="eastAsia" w:ascii="苹方" w:hAnsi="苹方" w:eastAsia="苹方" w:cs="苹方"/>
          <w:lang w:val="en-US" w:eastAsia="zh-CN"/>
        </w:rPr>
        <w:t>日，在新的财报公布中，对于向前三个季度的数据有修正，则需要在新的交易日做对应的调整。</w:t>
      </w:r>
    </w:p>
    <w:p w14:paraId="7D1552DA">
      <w:pPr>
        <w:numPr>
          <w:ilvl w:val="0"/>
          <w:numId w:val="0"/>
        </w:numPr>
        <w:rPr>
          <w:rFonts w:hint="eastAsia" w:ascii="苹方" w:hAnsi="苹方" w:eastAsia="苹方" w:cs="苹方"/>
          <w:lang w:val="en-US" w:eastAsia="zh-CN"/>
        </w:rPr>
      </w:pPr>
      <w:r>
        <w:rPr>
          <w:rFonts w:hint="eastAsia" w:ascii="苹方" w:hAnsi="苹方" w:eastAsia="苹方" w:cs="苹方"/>
          <w:lang w:val="en-US" w:eastAsia="zh-CN"/>
        </w:rPr>
        <w:t>附件说明：</w:t>
      </w:r>
    </w:p>
    <w:p w14:paraId="01B185AA">
      <w:pPr>
        <w:numPr>
          <w:ilvl w:val="0"/>
          <w:numId w:val="0"/>
        </w:numPr>
        <w:rPr>
          <w:rFonts w:hint="eastAsia" w:ascii="苹方" w:hAnsi="苹方" w:eastAsia="苹方" w:cs="苹方"/>
          <w:lang w:val="en-US" w:eastAsia="zh-CN"/>
        </w:rPr>
      </w:pPr>
      <w:r>
        <w:rPr>
          <w:rFonts w:hint="eastAsia" w:ascii="苹方" w:hAnsi="苹方" w:eastAsia="苹方" w:cs="苹方"/>
          <w:lang w:val="en-US" w:eastAsia="zh-CN"/>
        </w:rPr>
        <w:t>1）交易日信息</w:t>
      </w:r>
    </w:p>
    <w:p w14:paraId="38ACC4BA">
      <w:pPr>
        <w:numPr>
          <w:ilvl w:val="0"/>
          <w:numId w:val="0"/>
        </w:numPr>
        <w:rPr>
          <w:rFonts w:hint="eastAsia" w:ascii="苹方" w:hAnsi="苹方" w:eastAsia="苹方" w:cs="苹方"/>
          <w:lang w:val="en-US" w:eastAsia="zh-CN"/>
        </w:rPr>
      </w:pPr>
      <w:r>
        <w:rPr>
          <w:rFonts w:hint="eastAsia" w:ascii="苹方" w:hAnsi="苹方" w:eastAsia="苹方" w:cs="苹方"/>
          <w:lang w:val="en-US" w:eastAsia="zh-CN"/>
        </w:rPr>
        <w:t>2）公司净利润表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FFD01D"/>
    <w:multiLevelType w:val="singleLevel"/>
    <w:tmpl w:val="3FFFD01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EE4659"/>
    <w:rsid w:val="5F8DFD78"/>
    <w:rsid w:val="67DCB635"/>
    <w:rsid w:val="6F6FFCF5"/>
    <w:rsid w:val="7C7D9CD3"/>
    <w:rsid w:val="7EDE3661"/>
    <w:rsid w:val="7FFE67BC"/>
    <w:rsid w:val="BFDD5546"/>
    <w:rsid w:val="BFF7296D"/>
    <w:rsid w:val="DEDAD016"/>
    <w:rsid w:val="EECF2FDF"/>
    <w:rsid w:val="FFEE4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2026-01-15T21:56:00Z</dcterms:created>
  <dc:creator>WPS_623146054</dc:creator>
  <cp:lastModifiedBy>Nick</cp:lastModifiedBy>
  <dcterms:modified xsi:type="dcterms:W3CDTF">2026-04-08T17:48:23Z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89F18CEA48ACCB2A85A067690035D087_41</vt:lpwstr>
  </property>
</Properties>
</file>