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Return the number (count) of vowels in the given string.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We will consider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as vowels for this Kata (but not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The input string will only consist of lower case letters and/or spaces.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get_count(sentence):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vowels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"aeiou"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sentence.lower():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letter.lower()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vowels: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count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