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mbria" w:cs="Cambria" w:eastAsia="Cambria" w:hAnsi="Cambria"/>
          <w:b/>
          <w:bCs/>
          <w:color w:val="14213D"/>
          <w:sz w:val="52"/>
          <w:szCs w:val="52"/>
        </w:rPr>
        <w:t xml:space="preserve">Fraud Detection, Measured in Money</w:t>
      </w:r>
    </w:p>
    <w:p>
      <w:pPr>
        <w:spacing w:after="40" w:before="160"/>
        <w:jc w:val="center"/>
      </w:pPr>
      <w:r>
        <w:rPr>
          <w:color w:val="1A2433"/>
          <w:sz w:val="26"/>
          <w:szCs w:val="26"/>
        </w:rPr>
        <w:t xml:space="preserve">A Leakage-Safe, Cost-Sensitive Study of Credit-Card Fraud Detection</w:t>
      </w:r>
    </w:p>
    <w:p>
      <w:pPr>
        <w:spacing w:after="900"/>
        <w:jc w:val="center"/>
      </w:pPr>
      <w:r>
        <w:rPr>
          <w:color w:val="1A2433"/>
          <w:sz w:val="26"/>
          <w:szCs w:val="26"/>
        </w:rPr>
        <w:t xml:space="preserve">with Ensemble Learning, Probability Calibration, and Explainable Diagnostics</w:t>
      </w:r>
    </w:p>
    <w:p>
      <w:pPr>
        <w:spacing w:after="60"/>
        <w:jc w:val="center"/>
      </w:pPr>
      <w:r>
        <w:rPr>
          <w:b/>
          <w:bCs/>
          <w:color w:val="5A6B7F"/>
          <w:sz w:val="22"/>
          <w:szCs w:val="22"/>
        </w:rPr>
        <w:t xml:space="preserve">Course:  </w:t>
      </w:r>
      <w:r>
        <w:rPr>
          <w:color w:val="1A2433"/>
          <w:sz w:val="22"/>
          <w:szCs w:val="22"/>
        </w:rPr>
        <w:t xml:space="preserve">EECS 3404 — Applied Machine Learning</w:t>
      </w:r>
    </w:p>
    <w:p>
      <w:pPr>
        <w:spacing w:after="60"/>
        <w:jc w:val="center"/>
      </w:pPr>
      <w:r>
        <w:rPr>
          <w:b/>
          <w:bCs/>
          <w:color w:val="5A6B7F"/>
          <w:sz w:val="22"/>
          <w:szCs w:val="22"/>
        </w:rPr>
        <w:t xml:space="preserve">Institution:  </w:t>
      </w:r>
      <w:r>
        <w:rPr>
          <w:color w:val="1A2433"/>
          <w:sz w:val="22"/>
          <w:szCs w:val="22"/>
        </w:rPr>
        <w:t xml:space="preserve">York University</w:t>
      </w:r>
    </w:p>
    <w:p>
      <w:pPr>
        <w:spacing w:after="60"/>
        <w:jc w:val="center"/>
      </w:pPr>
      <w:r>
        <w:rPr>
          <w:b/>
          <w:bCs/>
          <w:color w:val="5A6B7F"/>
          <w:sz w:val="22"/>
          <w:szCs w:val="22"/>
        </w:rPr>
        <w:t xml:space="preserve">Team:  </w:t>
      </w:r>
      <w:r>
        <w:rPr>
          <w:color w:val="1A2433"/>
          <w:sz w:val="22"/>
          <w:szCs w:val="22"/>
        </w:rPr>
        <w:t xml:space="preserve">[ team member names &amp; student numbers ]</w:t>
      </w:r>
    </w:p>
    <w:p>
      <w:pPr>
        <w:spacing w:after="60"/>
        <w:jc w:val="center"/>
      </w:pPr>
      <w:r>
        <w:rPr>
          <w:b/>
          <w:bCs/>
          <w:color w:val="5A6B7F"/>
          <w:sz w:val="22"/>
          <w:szCs w:val="22"/>
        </w:rPr>
        <w:t xml:space="preserve">Date:  </w:t>
      </w:r>
      <w:r>
        <w:rPr>
          <w:color w:val="1A2433"/>
          <w:sz w:val="22"/>
          <w:szCs w:val="22"/>
        </w:rPr>
        <w:t xml:space="preserve">July 2026</w:t>
      </w:r>
    </w:p>
    <w:p>
      <w:pPr>
        <w:spacing w:after="60"/>
        <w:jc w:val="center"/>
      </w:pPr>
      <w:r>
        <w:rPr>
          <w:b/>
          <w:bCs/>
          <w:color w:val="5A6B7F"/>
          <w:sz w:val="22"/>
          <w:szCs w:val="22"/>
        </w:rPr>
        <w:t xml:space="preserve">Repository:  </w:t>
      </w:r>
      <w:r>
        <w:rPr>
          <w:color w:val="1A2433"/>
          <w:sz w:val="22"/>
          <w:szCs w:val="22"/>
        </w:rPr>
        <w:t xml:space="preserve">github.com/nicholaekim/ML-project-york</w:t>
      </w:r>
    </w:p>
    <w:p>
      <w:r>
        <w:br w:type="page"/>
      </w:r>
    </w:p>
    <w:p>
      <w:pPr>
        <w:pStyle w:val="Heading1"/>
        <w:spacing w:after="120" w:before="260"/>
      </w:pPr>
      <w:r>
        <w:rPr>
          <w:rFonts w:ascii="Cambria" w:cs="Cambria" w:eastAsia="Cambria" w:hAnsi="Cambria"/>
          <w:b/>
          <w:bCs/>
          <w:color w:val="14213D"/>
          <w:sz w:val="30"/>
          <w:szCs w:val="30"/>
        </w:rPr>
        <w:t xml:space="preserve">Contents</w:t>
      </w:r>
    </w:p>
    <w:p>
      <w:pPr>
        <w:tabs>
          <w:tab w:val="right" w:pos="9360" w:leader="dot"/>
        </w:tabs>
        <w:spacing w:after="110" w:line="276"/>
      </w:pPr>
      <w:r>
        <w:rPr>
          <w:b w:val="false"/>
          <w:bCs w:val="false"/>
          <w:color w:val="1A2433"/>
          <w:sz w:val="21"/>
          <w:szCs w:val="21"/>
        </w:rPr>
        <w:t xml:space="preserve">Abstract</w:t>
      </w:r>
      <w:r>
        <w:tab/>
      </w:r>
      <w:r>
        <w:rPr>
          <w:color w:val="1A2433"/>
          <w:sz w:val="21"/>
          <w:szCs w:val="21"/>
        </w:rPr>
        <w:t xml:space="preserve">3</w:t>
      </w:r>
    </w:p>
    <w:p>
      <w:pPr>
        <w:tabs>
          <w:tab w:val="right" w:pos="9360" w:leader="dot"/>
        </w:tabs>
        <w:spacing w:after="110" w:line="276"/>
      </w:pPr>
      <w:r>
        <w:rPr>
          <w:b w:val="false"/>
          <w:bCs w:val="false"/>
          <w:color w:val="1A2433"/>
          <w:sz w:val="21"/>
          <w:szCs w:val="21"/>
        </w:rPr>
        <w:t xml:space="preserve">1.  Problem Definition and Motivation</w:t>
      </w:r>
      <w:r>
        <w:tab/>
      </w:r>
      <w:r>
        <w:rPr>
          <w:color w:val="1A2433"/>
          <w:sz w:val="21"/>
          <w:szCs w:val="21"/>
        </w:rPr>
        <w:t xml:space="preserve">3</w:t>
      </w:r>
    </w:p>
    <w:p>
      <w:pPr>
        <w:tabs>
          <w:tab w:val="right" w:pos="9360" w:leader="dot"/>
        </w:tabs>
        <w:spacing w:after="110" w:line="276"/>
      </w:pPr>
      <w:r>
        <w:rPr>
          <w:b w:val="false"/>
          <w:bCs w:val="false"/>
          <w:color w:val="1A2433"/>
          <w:sz w:val="21"/>
          <w:szCs w:val="21"/>
        </w:rPr>
        <w:t xml:space="preserve">2.  Dataset and Preprocessing</w:t>
      </w:r>
      <w:r>
        <w:tab/>
      </w:r>
      <w:r>
        <w:rPr>
          <w:color w:val="1A2433"/>
          <w:sz w:val="21"/>
          <w:szCs w:val="21"/>
        </w:rPr>
        <w:t xml:space="preserve">3</w:t>
      </w:r>
    </w:p>
    <w:p>
      <w:pPr>
        <w:tabs>
          <w:tab w:val="right" w:pos="9360" w:leader="dot"/>
        </w:tabs>
        <w:spacing w:after="110" w:line="276"/>
      </w:pPr>
      <w:r>
        <w:rPr>
          <w:b w:val="false"/>
          <w:bCs w:val="false"/>
          <w:color w:val="1A2433"/>
          <w:sz w:val="21"/>
          <w:szCs w:val="21"/>
        </w:rPr>
        <w:t xml:space="preserve">3.  Methodology</w:t>
      </w:r>
      <w:r>
        <w:tab/>
      </w:r>
      <w:r>
        <w:rPr>
          <w:color w:val="1A2433"/>
          <w:sz w:val="21"/>
          <w:szCs w:val="21"/>
        </w:rPr>
        <w:t xml:space="preserve">4</w:t>
      </w:r>
    </w:p>
    <w:p>
      <w:pPr>
        <w:tabs>
          <w:tab w:val="right" w:pos="9360" w:leader="dot"/>
        </w:tabs>
        <w:spacing w:after="110" w:line="276"/>
      </w:pPr>
      <w:r>
        <w:rPr>
          <w:b w:val="false"/>
          <w:bCs w:val="false"/>
          <w:color w:val="1A2433"/>
          <w:sz w:val="21"/>
          <w:szCs w:val="21"/>
        </w:rPr>
        <w:t xml:space="preserve">4.  Experiments and Results</w:t>
      </w:r>
      <w:r>
        <w:tab/>
      </w:r>
      <w:r>
        <w:rPr>
          <w:color w:val="1A2433"/>
          <w:sz w:val="21"/>
          <w:szCs w:val="21"/>
        </w:rPr>
        <w:t xml:space="preserve">5</w:t>
      </w:r>
    </w:p>
    <w:p>
      <w:pPr>
        <w:tabs>
          <w:tab w:val="right" w:pos="9360" w:leader="dot"/>
        </w:tabs>
        <w:spacing w:after="110" w:line="276"/>
      </w:pPr>
      <w:r>
        <w:rPr>
          <w:b w:val="false"/>
          <w:bCs w:val="false"/>
          <w:color w:val="1A2433"/>
          <w:sz w:val="21"/>
          <w:szCs w:val="21"/>
        </w:rPr>
        <w:t xml:space="preserve">5.  Discussion: Limitations, Uncertainty, Drift, and Bias</w:t>
      </w:r>
      <w:r>
        <w:tab/>
      </w:r>
      <w:r>
        <w:rPr>
          <w:color w:val="1A2433"/>
          <w:sz w:val="21"/>
          <w:szCs w:val="21"/>
        </w:rPr>
        <w:t xml:space="preserve">9</w:t>
      </w:r>
    </w:p>
    <w:p>
      <w:pPr>
        <w:tabs>
          <w:tab w:val="right" w:pos="9360" w:leader="dot"/>
        </w:tabs>
        <w:spacing w:after="110" w:line="276"/>
      </w:pPr>
      <w:r>
        <w:rPr>
          <w:b w:val="false"/>
          <w:bCs w:val="false"/>
          <w:color w:val="1A2433"/>
          <w:sz w:val="21"/>
          <w:szCs w:val="21"/>
        </w:rPr>
        <w:t xml:space="preserve">6.  Engineering Workflow and Reproducibility</w:t>
      </w:r>
      <w:r>
        <w:tab/>
      </w:r>
      <w:r>
        <w:rPr>
          <w:color w:val="1A2433"/>
          <w:sz w:val="21"/>
          <w:szCs w:val="21"/>
        </w:rPr>
        <w:t xml:space="preserve">9</w:t>
      </w:r>
    </w:p>
    <w:p>
      <w:pPr>
        <w:tabs>
          <w:tab w:val="right" w:pos="9360" w:leader="dot"/>
        </w:tabs>
        <w:spacing w:after="110" w:line="276"/>
      </w:pPr>
      <w:r>
        <w:rPr>
          <w:b w:val="false"/>
          <w:bCs w:val="false"/>
          <w:color w:val="1A2433"/>
          <w:sz w:val="21"/>
          <w:szCs w:val="21"/>
        </w:rPr>
        <w:t xml:space="preserve">7.  Conclusion</w:t>
      </w:r>
      <w:r>
        <w:tab/>
      </w:r>
      <w:r>
        <w:rPr>
          <w:color w:val="1A2433"/>
          <w:sz w:val="21"/>
          <w:szCs w:val="21"/>
        </w:rPr>
        <w:t xml:space="preserve">9</w:t>
      </w:r>
    </w:p>
    <w:p>
      <w:pPr>
        <w:tabs>
          <w:tab w:val="right" w:pos="9360" w:leader="dot"/>
        </w:tabs>
        <w:spacing w:after="110" w:line="276"/>
      </w:pPr>
      <w:r>
        <w:rPr>
          <w:b w:val="false"/>
          <w:bCs w:val="false"/>
          <w:color w:val="1A2433"/>
          <w:sz w:val="21"/>
          <w:szCs w:val="21"/>
        </w:rPr>
        <w:t xml:space="preserve">References</w:t>
      </w:r>
      <w:r>
        <w:tab/>
      </w:r>
      <w:r>
        <w:rPr>
          <w:color w:val="1A2433"/>
          <w:sz w:val="21"/>
          <w:szCs w:val="21"/>
        </w:rPr>
        <w:t xml:space="preserve">10</w:t>
      </w:r>
    </w:p>
    <w:p>
      <w:pPr>
        <w:tabs>
          <w:tab w:val="right" w:pos="9360" w:leader="dot"/>
        </w:tabs>
        <w:spacing w:after="110" w:line="276"/>
      </w:pPr>
      <w:r>
        <w:rPr>
          <w:b w:val="false"/>
          <w:bCs w:val="false"/>
          <w:color w:val="1A2433"/>
          <w:sz w:val="21"/>
          <w:szCs w:val="21"/>
        </w:rPr>
        <w:t xml:space="preserve">Appendix A.  Reproducing the Results</w:t>
      </w:r>
      <w:r>
        <w:tab/>
      </w:r>
      <w:r>
        <w:rPr>
          <w:color w:val="1A2433"/>
          <w:sz w:val="21"/>
          <w:szCs w:val="21"/>
        </w:rPr>
        <w:t xml:space="preserve">11</w:t>
      </w:r>
    </w:p>
    <w:p>
      <w:r>
        <w:br w:type="page"/>
      </w:r>
    </w:p>
    <w:p>
      <w:pPr>
        <w:pStyle w:val="Heading1"/>
        <w:spacing w:after="120" w:before="260"/>
      </w:pPr>
      <w:r>
        <w:rPr>
          <w:rFonts w:ascii="Cambria" w:cs="Cambria" w:eastAsia="Cambria" w:hAnsi="Cambria"/>
          <w:b/>
          <w:bCs/>
          <w:color w:val="14213D"/>
          <w:sz w:val="30"/>
          <w:szCs w:val="30"/>
        </w:rPr>
        <w:t xml:space="preserve">Abstract</w:t>
      </w:r>
    </w:p>
    <w:p>
      <w:pPr>
        <w:spacing w:after="120" w:line="276"/>
      </w:pPr>
      <w:r>
        <w:rPr>
          <w:sz w:val="21"/>
          <w:szCs w:val="21"/>
        </w:rPr>
        <w:t xml:space="preserve">Credit-card fraud is a rare-event problem — 492 of 284,807 transactions (0.17%) — in which the standard evaluation habits (reporting accuracy, and applying synthetic oversampling before the train/test split) silently and severely overstate performance. We build a fraud detector whose pipeline makes such </w:t>
      </w:r>
      <w:r>
        <w:rPr>
          <w:b/>
          <w:bCs/>
          <w:sz w:val="21"/>
          <w:szCs w:val="21"/>
        </w:rPr>
        <w:t xml:space="preserve">data leakage structurally impossible</w:t>
      </w:r>
      <w:r>
        <w:rPr>
          <w:sz w:val="21"/>
          <w:szCs w:val="21"/>
        </w:rPr>
        <w:t xml:space="preserve">, evaluate it in </w:t>
      </w:r>
      <w:r>
        <w:rPr>
          <w:b/>
          <w:bCs/>
          <w:sz w:val="21"/>
          <w:szCs w:val="21"/>
        </w:rPr>
        <w:t xml:space="preserve">dollars saved</w:t>
      </w:r>
      <w:r>
        <w:rPr>
          <w:sz w:val="21"/>
          <w:szCs w:val="21"/>
        </w:rPr>
        <w:t xml:space="preserve"> rather than abstract scores, and run eight self-contained experiments that quantify how much the common shortcuts inflate results and which of our own conclusions are statistically real. Our best honest model (a class-weighted Random Forest with calibrated probabilities) prevents about 67% of do-nothing fraud losses. A 2⁴ factorial ablation shows a single mistake — oversampling before splitting — accounts for essentially the entire inflation (reported PR-AUC rises by 0.25 while the true score is unchanged) and ships a model whose deployed F1 is 0.07 versus a reported 0.95. A paired bootstrap shows every pairwise classification-score </w:t>
      </w:r>
      <w:r>
        <w:rPr>
          <w:i/>
          <w:iCs/>
          <w:sz w:val="21"/>
          <w:szCs w:val="21"/>
        </w:rPr>
        <w:t xml:space="preserve">win</w:t>
      </w:r>
      <w:r>
        <w:rPr>
          <w:sz w:val="21"/>
          <w:szCs w:val="21"/>
        </w:rPr>
        <w:t xml:space="preserve"> among our top models is statistical noise at 95 test frauds, while our headline money result was confirmed on held-out seeds. Every figure is reproducible from raw data with one command per experiment.</w:t>
      </w:r>
    </w:p>
    <w:p>
      <w:pPr>
        <w:pStyle w:val="Heading1"/>
        <w:spacing w:after="120" w:before="260"/>
      </w:pPr>
      <w:r>
        <w:rPr>
          <w:rFonts w:ascii="Cambria" w:cs="Cambria" w:eastAsia="Cambria" w:hAnsi="Cambria"/>
          <w:b/>
          <w:bCs/>
          <w:color w:val="14213D"/>
          <w:sz w:val="30"/>
          <w:szCs w:val="30"/>
        </w:rPr>
        <w:t xml:space="preserve">1. Problem Definition and Motivation</w:t>
      </w:r>
    </w:p>
    <w:p>
      <w:pPr>
        <w:spacing w:after="120" w:line="276"/>
      </w:pPr>
      <w:r>
        <w:rPr>
          <w:sz w:val="21"/>
          <w:szCs w:val="21"/>
        </w:rPr>
        <w:t xml:space="preserve">Financial institutions must flag fraudulent card transactions in real time, under two hard constraints. First, fraud is extremely rare: in our data it occurs once in every 579 transactions. Second, the costs are asymmetric — missing a large fraud is far costlier than investigating a false alarm. Together these make the naïve machine-learning workflow actively misleading.</w:t>
      </w:r>
    </w:p>
    <w:p>
      <w:pPr>
        <w:spacing w:after="120" w:line="276"/>
      </w:pPr>
      <w:r>
        <w:rPr>
          <w:sz w:val="21"/>
          <w:szCs w:val="21"/>
        </w:rPr>
        <w:t xml:space="preserve">The rarity breaks accuracy as a metric. </w:t>
      </w:r>
      <w:r>
        <w:rPr>
          <w:b/>
          <w:bCs/>
          <w:sz w:val="21"/>
          <w:szCs w:val="21"/>
        </w:rPr>
        <w:t xml:space="preserve">A model that flags nothing is 99.83% accurate</w:t>
      </w:r>
      <w:r>
        <w:rPr>
          <w:sz w:val="21"/>
          <w:szCs w:val="21"/>
        </w:rPr>
        <w:t xml:space="preserve"> and catches zero fraud, so accuracy cannot distinguish a useful model from a useless one. The rarity also invites a subtle methodological error: because positive examples are scarce, practitioners synthesise artificial fraud examples (SMOTE). Done incorrectly — before the data is split — this leaks information from the test set into training and inflates every reported number. A recent critical survey shows a trivial model with this leak can appear to beat most published methods.</w:t>
      </w:r>
    </w:p>
    <w:p>
      <w:pPr>
        <w:spacing w:after="120" w:line="276"/>
      </w:pPr>
      <w:r>
        <w:rPr>
          <w:sz w:val="21"/>
          <w:szCs w:val="21"/>
        </w:rPr>
        <w:t xml:space="preserve">This project's contribution is therefore not a novel model but a rigorously honest workflow: (i) a pipeline in which leakage cannot occur, (ii) evaluation in monetary units that reflect the real decision, and (iii) an experimental programme that measures the cost of the common mistakes and the statistical reliability of every claim — including our own.</w:t>
      </w:r>
    </w:p>
    <w:p>
      <w:pPr>
        <w:pStyle w:val="Heading1"/>
        <w:spacing w:after="120" w:before="260"/>
      </w:pPr>
      <w:r>
        <w:rPr>
          <w:rFonts w:ascii="Cambria" w:cs="Cambria" w:eastAsia="Cambria" w:hAnsi="Cambria"/>
          <w:b/>
          <w:bCs/>
          <w:color w:val="14213D"/>
          <w:sz w:val="30"/>
          <w:szCs w:val="30"/>
        </w:rPr>
        <w:t xml:space="preserve">2. Dataset and Preprocessing</w:t>
      </w:r>
    </w:p>
    <w:p>
      <w:pPr>
        <w:spacing w:after="120" w:line="276"/>
      </w:pPr>
      <w:r>
        <w:rPr>
          <w:sz w:val="21"/>
          <w:szCs w:val="21"/>
        </w:rPr>
        <w:t xml:space="preserve">We use the ULB / Worldline </w:t>
      </w:r>
      <w:r>
        <w:rPr>
          <w:i/>
          <w:iCs/>
          <w:sz w:val="21"/>
          <w:szCs w:val="21"/>
        </w:rPr>
        <w:t xml:space="preserve">Credit Card Fraud Detection</w:t>
      </w:r>
      <w:r>
        <w:rPr>
          <w:sz w:val="21"/>
          <w:szCs w:val="21"/>
        </w:rPr>
        <w:t xml:space="preserve"> dataset (Kaggle: mlg-ulb/creditcardfraud): 284,807 European card transactions over two days in September 2013, of which 492 (0.172%) are fraudulent. The features are </w:t>
      </w:r>
      <w:r>
        <w:rPr>
          <w:rFonts w:ascii="Courier New" w:cs="Courier New" w:eastAsia="Courier New" w:hAnsi="Courier New"/>
          <w:sz w:val="19"/>
          <w:szCs w:val="19"/>
        </w:rPr>
        <w:t xml:space="preserve">Time</w:t>
      </w:r>
      <w:r>
        <w:rPr>
          <w:sz w:val="21"/>
          <w:szCs w:val="21"/>
        </w:rPr>
        <w:t xml:space="preserve">, </w:t>
      </w:r>
      <w:r>
        <w:rPr>
          <w:rFonts w:ascii="Courier New" w:cs="Courier New" w:eastAsia="Courier New" w:hAnsi="Courier New"/>
          <w:sz w:val="19"/>
          <w:szCs w:val="19"/>
        </w:rPr>
        <w:t xml:space="preserve">V1–V28</w:t>
      </w:r>
      <w:r>
        <w:rPr>
          <w:sz w:val="21"/>
          <w:szCs w:val="21"/>
        </w:rPr>
        <w:t xml:space="preserve"> (anonymised principal components from a PCA the data provider applied for confidentiality), </w:t>
      </w:r>
      <w:r>
        <w:rPr>
          <w:rFonts w:ascii="Courier New" w:cs="Courier New" w:eastAsia="Courier New" w:hAnsi="Courier New"/>
          <w:sz w:val="19"/>
          <w:szCs w:val="19"/>
        </w:rPr>
        <w:t xml:space="preserve">Amount</w:t>
      </w:r>
      <w:r>
        <w:rPr>
          <w:sz w:val="21"/>
          <w:szCs w:val="21"/>
        </w:rPr>
        <w:t xml:space="preserve">, and the binary </w:t>
      </w:r>
      <w:r>
        <w:rPr>
          <w:rFonts w:ascii="Courier New" w:cs="Courier New" w:eastAsia="Courier New" w:hAnsi="Courier New"/>
          <w:sz w:val="19"/>
          <w:szCs w:val="19"/>
        </w:rPr>
        <w:t xml:space="preserve">Class</w:t>
      </w:r>
      <w:r>
        <w:rPr>
          <w:sz w:val="21"/>
          <w:szCs w:val="21"/>
        </w:rPr>
        <w:t xml:space="preserve"> label.</w:t>
      </w:r>
    </w:p>
    <w:p>
      <w:pPr>
        <w:pStyle w:val="Heading2"/>
        <w:spacing w:after="90" w:before="180"/>
      </w:pPr>
      <w:r>
        <w:rPr>
          <w:b/>
          <w:bCs/>
          <w:color w:val="1A2433"/>
          <w:sz w:val="24"/>
          <w:szCs w:val="24"/>
        </w:rPr>
        <w:t xml:space="preserve">2.1 Preprocessing decisions</w:t>
      </w:r>
    </w:p>
    <w:p>
      <w:pPr>
        <w:pStyle w:val="ListParagraph"/>
        <w:numPr>
          <w:ilvl w:val="0"/>
          <w:numId w:val="2"/>
        </w:numPr>
        <w:spacing w:after="80" w:line="268"/>
      </w:pPr>
      <w:r>
        <w:rPr>
          <w:b/>
          <w:bCs/>
          <w:sz w:val="21"/>
          <w:szCs w:val="21"/>
        </w:rPr>
        <w:t xml:space="preserve">Deduplication. </w:t>
      </w:r>
      <w:r>
        <w:rPr>
          <w:sz w:val="21"/>
          <w:szCs w:val="21"/>
        </w:rPr>
        <w:t xml:space="preserve">The dataset contains 1,081 exact duplicate rows. More importantly, we found </w:t>
      </w:r>
      <w:r>
        <w:rPr>
          <w:b/>
          <w:bCs/>
          <w:sz w:val="21"/>
          <w:szCs w:val="21"/>
        </w:rPr>
        <w:t xml:space="preserve">9,144 duplicate rows in the feature space the model actually sees</w:t>
      </w:r>
      <w:r>
        <w:rPr>
          <w:sz w:val="21"/>
          <w:szCs w:val="21"/>
        </w:rPr>
        <w:t xml:space="preserve"> (V1–V28 + Amount, ignoring Time) — roughly eight times the exact-duplicate count. Ordinary drop_duplicates() therefore still leaves thousands of model-identical rows able to straddle the train/test boundary. We deduplicate on the model-visible columns before splitting.</w:t>
      </w:r>
    </w:p>
    <w:p>
      <w:pPr>
        <w:pStyle w:val="ListParagraph"/>
        <w:numPr>
          <w:ilvl w:val="0"/>
          <w:numId w:val="2"/>
        </w:numPr>
        <w:spacing w:after="80" w:line="268"/>
      </w:pPr>
      <w:r>
        <w:rPr>
          <w:b/>
          <w:bCs/>
          <w:sz w:val="21"/>
          <w:szCs w:val="21"/>
        </w:rPr>
        <w:t xml:space="preserve">Excluding Time. </w:t>
      </w:r>
      <w:r>
        <w:rPr>
          <w:sz w:val="21"/>
          <w:szCs w:val="21"/>
        </w:rPr>
        <w:t xml:space="preserve">Time is elapsed seconds within the 2-day window; used as a feature it encodes a transaction's position in that window and does not generalise (and gives away a temporal split). We exclude it from the model features but use it for the out-of-time evaluation (§4.5).</w:t>
      </w:r>
    </w:p>
    <w:p>
      <w:pPr>
        <w:pStyle w:val="ListParagraph"/>
        <w:numPr>
          <w:ilvl w:val="0"/>
          <w:numId w:val="2"/>
        </w:numPr>
        <w:spacing w:after="80" w:line="268"/>
      </w:pPr>
      <w:r>
        <w:rPr>
          <w:b/>
          <w:bCs/>
          <w:sz w:val="21"/>
          <w:szCs w:val="21"/>
        </w:rPr>
        <w:t xml:space="preserve">Scaling and resampling live inside the pipeline. </w:t>
      </w:r>
      <w:r>
        <w:rPr>
          <w:sz w:val="21"/>
          <w:szCs w:val="21"/>
        </w:rPr>
        <w:t xml:space="preserve">Amount is standardised, and any resampling is fit on the training folds only — see §3.2.</w:t>
      </w:r>
    </w:p>
    <w:p>
      <w:pPr>
        <w:pStyle w:val="ListParagraph"/>
        <w:numPr>
          <w:ilvl w:val="0"/>
          <w:numId w:val="2"/>
        </w:numPr>
        <w:spacing w:after="80" w:line="268"/>
      </w:pPr>
      <w:r>
        <w:rPr>
          <w:b/>
          <w:bCs/>
          <w:sz w:val="21"/>
          <w:szCs w:val="21"/>
        </w:rPr>
        <w:t xml:space="preserve">Amount as cost. </w:t>
      </w:r>
      <w:r>
        <w:rPr>
          <w:sz w:val="21"/>
          <w:szCs w:val="21"/>
        </w:rPr>
        <w:t xml:space="preserve">The Amount column doubles as the cost of a missed fraud in our money metric (§3.4). Notably, ~45% of frauds are ≤ $5, which reshapes what an optimal policy should even attempt.</w:t>
      </w:r>
    </w:p>
    <w:p>
      <w:pPr>
        <w:pStyle w:val="Heading1"/>
        <w:spacing w:after="120" w:before="260"/>
      </w:pPr>
      <w:r>
        <w:rPr>
          <w:rFonts w:ascii="Cambria" w:cs="Cambria" w:eastAsia="Cambria" w:hAnsi="Cambria"/>
          <w:b/>
          <w:bCs/>
          <w:color w:val="14213D"/>
          <w:sz w:val="30"/>
          <w:szCs w:val="30"/>
        </w:rPr>
        <w:t xml:space="preserve">3. Methodology</w:t>
      </w:r>
    </w:p>
    <w:p>
      <w:pPr>
        <w:pStyle w:val="Heading2"/>
        <w:spacing w:after="90" w:before="180"/>
      </w:pPr>
      <w:r>
        <w:rPr>
          <w:b/>
          <w:bCs/>
          <w:color w:val="1A2433"/>
          <w:sz w:val="24"/>
          <w:szCs w:val="24"/>
        </w:rPr>
        <w:t xml:space="preserve">3.1 Train / validation / test protocol</w:t>
      </w:r>
    </w:p>
    <w:p>
      <w:pPr>
        <w:spacing w:after="120" w:line="276"/>
      </w:pPr>
      <w:r>
        <w:rPr>
          <w:sz w:val="21"/>
          <w:szCs w:val="21"/>
        </w:rPr>
        <w:t xml:space="preserve">We split the data before any learning step. Two split strategies are used deliberately: a stratified random split (preserving the 0.17% positive rate in each part) for the main study, and a temporal split (train on the earliest transactions, test on the latest) as a deployment-realistic robustness check. Decision thresholds and probability calibrators are fit on the validation split only; the test set is scored exactly once. All experiments repeat over five random seeds and report mean ± standard deviation.</w:t>
      </w:r>
    </w:p>
    <w:p>
      <w:pPr>
        <w:pStyle w:val="Heading2"/>
        <w:spacing w:after="90" w:before="180"/>
      </w:pPr>
      <w:r>
        <w:rPr>
          <w:b/>
          <w:bCs/>
          <w:color w:val="1A2433"/>
          <w:sz w:val="24"/>
          <w:szCs w:val="24"/>
        </w:rPr>
        <w:t xml:space="preserve">3.2 The leakage-safe pipeline</w:t>
      </w:r>
    </w:p>
    <w:p>
      <w:pPr>
        <w:spacing w:after="120" w:line="276"/>
      </w:pPr>
      <w:r>
        <w:rPr>
          <w:sz w:val="21"/>
          <w:szCs w:val="21"/>
        </w:rPr>
        <w:t xml:space="preserve">Every learning step — the StandardScaler and the resampler — is wrapped in a single </w:t>
      </w:r>
      <w:r>
        <w:rPr>
          <w:rFonts w:ascii="Courier New" w:cs="Courier New" w:eastAsia="Courier New" w:hAnsi="Courier New"/>
          <w:sz w:val="19"/>
          <w:szCs w:val="19"/>
        </w:rPr>
        <w:t xml:space="preserve">imbalanced-learn</w:t>
      </w:r>
      <w:r>
        <w:rPr>
          <w:sz w:val="21"/>
          <w:szCs w:val="21"/>
        </w:rPr>
        <w:t xml:space="preserve"> Pipeline object. Because scikit-learn re-fits that object on the training fold at every step (including inside cross-validation), the scaler and SMOTE can only ever learn from training data. Leakage is prevented by construction, not by discipline. This is the project's methodological spine, and §4.3 measures exactly what happens when it is violated.</w:t>
      </w:r>
    </w:p>
    <w:p>
      <w:pPr>
        <w:pStyle w:val="Heading2"/>
        <w:spacing w:after="90" w:before="180"/>
      </w:pPr>
      <w:r>
        <w:rPr>
          <w:b/>
          <w:bCs/>
          <w:color w:val="1A2433"/>
          <w:sz w:val="24"/>
          <w:szCs w:val="24"/>
        </w:rPr>
        <w:t xml:space="preserve">3.3 Models and baselines</w:t>
      </w:r>
    </w:p>
    <w:p>
      <w:pPr>
        <w:spacing w:after="120" w:line="276"/>
      </w:pPr>
      <w:r>
        <w:rPr>
          <w:sz w:val="21"/>
          <w:szCs w:val="21"/>
        </w:rPr>
        <w:t xml:space="preserve">We compare five classifiers of increasing capacity: Logistic Regression (a linear baseline), Random Forest (bagging), and three gradient-boosted implementations — HistGradientBoosting, XGBoost, and LightGBM. Every model is judged against four reference baselines that any real system must beat: flag-nothing (the do-nothing bank), flag-all, an oracle that flags every fraud, and a cost-optimal oracle that flags only frauds worth more than the investigation fee.</w:t>
      </w:r>
    </w:p>
    <w:p>
      <w:pPr>
        <w:pStyle w:val="Heading2"/>
        <w:spacing w:after="90" w:before="180"/>
      </w:pPr>
      <w:r>
        <w:rPr>
          <w:b/>
          <w:bCs/>
          <w:color w:val="1A2433"/>
          <w:sz w:val="24"/>
          <w:szCs w:val="24"/>
        </w:rPr>
        <w:t xml:space="preserve">3.4 Metrics and the cost model</w:t>
      </w:r>
    </w:p>
    <w:p>
      <w:pPr>
        <w:spacing w:after="120" w:line="276"/>
      </w:pPr>
      <w:r>
        <w:rPr>
          <w:sz w:val="21"/>
          <w:szCs w:val="21"/>
        </w:rPr>
        <w:t xml:space="preserve">Because accuracy is uninformative here, our primary statistical metric is </w:t>
      </w:r>
      <w:r>
        <w:rPr>
          <w:b/>
          <w:bCs/>
          <w:sz w:val="21"/>
          <w:szCs w:val="21"/>
        </w:rPr>
        <w:t xml:space="preserve">PR-AUC</w:t>
      </w:r>
      <w:r>
        <w:rPr>
          <w:sz w:val="21"/>
          <w:szCs w:val="21"/>
        </w:rPr>
        <w:t xml:space="preserve"> (average precision), which is appropriate under extreme imbalance; we report accuracy only to demonstrate its uselessness. Our primary decision metric is monetary. Following an example-dependent cost model, each alert (true or false) costs a fixed investigation fee of $5, and each missed fraud costs its own transaction amount. We define </w:t>
      </w:r>
    </w:p>
    <w:p>
      <w:pPr>
        <w:spacing w:after="120"/>
        <w:jc w:val="center"/>
      </w:pPr>
      <w:r>
        <w:rPr>
          <w:i/>
          <w:iCs/>
          <w:sz w:val="22"/>
          <w:szCs w:val="22"/>
        </w:rPr>
        <w:t xml:space="preserve">savings = 1 − (model cost ⁄ do-nothing cost),</w:t>
      </w:r>
    </w:p>
    <w:p>
      <w:pPr>
        <w:spacing w:after="120" w:line="276"/>
      </w:pPr>
      <w:r>
        <w:rPr>
          <w:sz w:val="21"/>
          <w:szCs w:val="21"/>
        </w:rPr>
        <w:t xml:space="preserve">so 1.0 is a perfect policy, 0 is no better than ignoring fraud, and negative values mean the alerts cost more than the fraud they prevent. Thresholds are tuned to maximise savings on validation — the model literally optimises money.</w:t>
      </w:r>
    </w:p>
    <w:p>
      <w:pPr>
        <w:pStyle w:val="Heading1"/>
        <w:spacing w:after="120" w:before="260"/>
      </w:pPr>
      <w:r>
        <w:rPr>
          <w:rFonts w:ascii="Cambria" w:cs="Cambria" w:eastAsia="Cambria" w:hAnsi="Cambria"/>
          <w:b/>
          <w:bCs/>
          <w:color w:val="14213D"/>
          <w:sz w:val="30"/>
          <w:szCs w:val="30"/>
        </w:rPr>
        <w:t xml:space="preserve">4. Experiments and Results</w:t>
      </w:r>
    </w:p>
    <w:p>
      <w:pPr>
        <w:pStyle w:val="Heading2"/>
        <w:spacing w:after="90" w:before="180"/>
      </w:pPr>
      <w:r>
        <w:rPr>
          <w:b/>
          <w:bCs/>
          <w:color w:val="1A2433"/>
          <w:sz w:val="24"/>
          <w:szCs w:val="24"/>
        </w:rPr>
        <w:t xml:space="preserve">4.1 Money benchmark and imbalance ablation (E1–E2)</w:t>
      </w:r>
    </w:p>
    <w:p>
      <w:pPr>
        <w:spacing w:after="120" w:line="276"/>
      </w:pPr>
      <w:r>
        <w:rPr>
          <w:sz w:val="21"/>
          <w:szCs w:val="21"/>
        </w:rPr>
        <w:t xml:space="preserve">Running all five models under four imbalance strategies (class weights, SMOTE, undersampling, none) over five seeds, evaluated in dollars, produces the leaderboard below. Two findings stand out: classification quality and money are different rankings, and the simple class-weight strategy matches or beats SMOTE while undersampling hurts.</w:t>
      </w:r>
    </w:p>
    <w:tbl>
      <w:tblPr>
        <w:tblW w:type="dxa" w:w="9360"/>
        <w:tblBorders>
          <w:top w:val="single" w:color="D5DEE9" w:sz="2"/>
          <w:left w:val="single" w:color="D5DEE9" w:sz="2"/>
          <w:bottom w:val="single" w:color="D5DEE9" w:sz="2"/>
          <w:right w:val="single" w:color="D5DEE9" w:sz="2"/>
          <w:insideH w:val="single" w:color="D5DEE9" w:sz="2"/>
          <w:insideV w:val="single" w:color="D5DEE9" w:sz="2"/>
        </w:tblBorders>
      </w:tblPr>
      <w:tblGrid>
        <w:gridCol w:w="3400"/>
        <w:gridCol w:w="1300"/>
        <w:gridCol w:w="1300"/>
        <w:gridCol w:w="1300"/>
        <w:gridCol w:w="2060"/>
      </w:tblGrid>
      <w:tr>
        <w:trPr>
          <w:tblHeader/>
        </w:trPr>
        <w:tc>
          <w:tcPr>
            <w:tcW w:type="dxa" w:w="3400"/>
            <w:shd w:fill="14213D" w:color="auto" w:val="clear"/>
            <w:tcMar>
              <w:top w:type="dxa" w:w="60"/>
              <w:left w:type="dxa" w:w="90"/>
              <w:bottom w:type="dxa" w:w="60"/>
              <w:right w:type="dxa" w:w="90"/>
            </w:tcMar>
          </w:tcPr>
          <w:p>
            <w:pPr>
              <w:spacing w:after="0" w:line="252"/>
              <w:jc w:val="left"/>
            </w:pPr>
            <w:r>
              <w:rPr>
                <w:b/>
                <w:bCs/>
                <w:color w:val="FFFFFF"/>
                <w:sz w:val="18"/>
                <w:szCs w:val="18"/>
              </w:rPr>
              <w:t xml:space="preserve">Policy / model</w:t>
            </w:r>
          </w:p>
        </w:tc>
        <w:tc>
          <w:tcPr>
            <w:tcW w:type="dxa" w:w="1300"/>
            <w:shd w:fill="14213D" w:color="auto" w:val="clear"/>
            <w:tcMar>
              <w:top w:type="dxa" w:w="60"/>
              <w:left w:type="dxa" w:w="90"/>
              <w:bottom w:type="dxa" w:w="60"/>
              <w:right w:type="dxa" w:w="90"/>
            </w:tcMar>
          </w:tcPr>
          <w:p>
            <w:pPr>
              <w:spacing w:after="0" w:line="252"/>
              <w:jc w:val="center"/>
            </w:pPr>
            <w:r>
              <w:rPr>
                <w:b/>
                <w:bCs/>
                <w:color w:val="FFFFFF"/>
                <w:sz w:val="18"/>
                <w:szCs w:val="18"/>
              </w:rPr>
              <w:t xml:space="preserve">Savings</w:t>
            </w:r>
          </w:p>
        </w:tc>
        <w:tc>
          <w:tcPr>
            <w:tcW w:type="dxa" w:w="1300"/>
            <w:shd w:fill="14213D" w:color="auto" w:val="clear"/>
            <w:tcMar>
              <w:top w:type="dxa" w:w="60"/>
              <w:left w:type="dxa" w:w="90"/>
              <w:bottom w:type="dxa" w:w="60"/>
              <w:right w:type="dxa" w:w="90"/>
            </w:tcMar>
          </w:tcPr>
          <w:p>
            <w:pPr>
              <w:spacing w:after="0" w:line="252"/>
              <w:jc w:val="center"/>
            </w:pPr>
            <w:r>
              <w:rPr>
                <w:b/>
                <w:bCs/>
                <w:color w:val="FFFFFF"/>
                <w:sz w:val="18"/>
                <w:szCs w:val="18"/>
              </w:rPr>
              <w:t xml:space="preserve">PR-AUC</w:t>
            </w:r>
          </w:p>
        </w:tc>
        <w:tc>
          <w:tcPr>
            <w:tcW w:type="dxa" w:w="1300"/>
            <w:shd w:fill="14213D" w:color="auto" w:val="clear"/>
            <w:tcMar>
              <w:top w:type="dxa" w:w="60"/>
              <w:left w:type="dxa" w:w="90"/>
              <w:bottom w:type="dxa" w:w="60"/>
              <w:right w:type="dxa" w:w="90"/>
            </w:tcMar>
          </w:tcPr>
          <w:p>
            <w:pPr>
              <w:spacing w:after="0" w:line="252"/>
              <w:jc w:val="center"/>
            </w:pPr>
            <w:r>
              <w:rPr>
                <w:b/>
                <w:bCs/>
                <w:color w:val="FFFFFF"/>
                <w:sz w:val="18"/>
                <w:szCs w:val="18"/>
              </w:rPr>
              <w:t xml:space="preserve">F1</w:t>
            </w:r>
          </w:p>
        </w:tc>
        <w:tc>
          <w:tcPr>
            <w:tcW w:type="dxa" w:w="2060"/>
            <w:shd w:fill="14213D" w:color="auto" w:val="clear"/>
            <w:tcMar>
              <w:top w:type="dxa" w:w="60"/>
              <w:left w:type="dxa" w:w="90"/>
              <w:bottom w:type="dxa" w:w="60"/>
              <w:right w:type="dxa" w:w="90"/>
            </w:tcMar>
          </w:tcPr>
          <w:p>
            <w:pPr>
              <w:spacing w:after="0" w:line="252"/>
              <w:jc w:val="center"/>
            </w:pPr>
            <w:r>
              <w:rPr>
                <w:b/>
                <w:bCs/>
                <w:color w:val="FFFFFF"/>
                <w:sz w:val="18"/>
                <w:szCs w:val="18"/>
              </w:rPr>
              <w:t xml:space="preserve">Fraud $ missed</w:t>
            </w:r>
          </w:p>
        </w:tc>
      </w:tr>
      <w:tr>
        <w:tc>
          <w:tcPr>
            <w:tcW w:type="dxa" w:w="3400"/>
            <w:shd w:fill="FFFFFF" w:color="auto" w:val="clear"/>
            <w:tcMar>
              <w:top w:type="dxa" w:w="60"/>
              <w:left w:type="dxa" w:w="90"/>
              <w:bottom w:type="dxa" w:w="60"/>
              <w:right w:type="dxa" w:w="90"/>
            </w:tcMar>
          </w:tcPr>
          <w:p>
            <w:pPr>
              <w:spacing w:after="0" w:line="252"/>
              <w:jc w:val="left"/>
            </w:pPr>
            <w:r>
              <w:rPr>
                <w:b w:val="false"/>
                <w:bCs w:val="false"/>
                <w:color w:val="1A2433"/>
                <w:sz w:val="18"/>
                <w:szCs w:val="18"/>
              </w:rPr>
              <w:t xml:space="preserve">Cost-optimal oracle (ceiling)</w:t>
            </w:r>
          </w:p>
        </w:tc>
        <w:tc>
          <w:tcPr>
            <w:tcW w:type="dxa" w:w="13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0.971</w:t>
            </w:r>
          </w:p>
        </w:tc>
        <w:tc>
          <w:tcPr>
            <w:tcW w:type="dxa" w:w="13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w:t>
            </w:r>
          </w:p>
        </w:tc>
        <w:tc>
          <w:tcPr>
            <w:tcW w:type="dxa" w:w="13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w:t>
            </w:r>
          </w:p>
        </w:tc>
        <w:tc>
          <w:tcPr>
            <w:tcW w:type="dxa" w:w="206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w:t>
            </w:r>
          </w:p>
        </w:tc>
      </w:tr>
      <w:tr>
        <w:tc>
          <w:tcPr>
            <w:tcW w:type="dxa" w:w="3400"/>
            <w:shd w:fill="F2F5F9" w:color="auto" w:val="clear"/>
            <w:tcMar>
              <w:top w:type="dxa" w:w="60"/>
              <w:left w:type="dxa" w:w="90"/>
              <w:bottom w:type="dxa" w:w="60"/>
              <w:right w:type="dxa" w:w="90"/>
            </w:tcMar>
          </w:tcPr>
          <w:p>
            <w:pPr>
              <w:spacing w:after="0" w:line="252"/>
              <w:jc w:val="left"/>
            </w:pPr>
            <w:r>
              <w:rPr>
                <w:b w:val="false"/>
                <w:bCs w:val="false"/>
                <w:color w:val="1A2433"/>
                <w:sz w:val="18"/>
                <w:szCs w:val="18"/>
              </w:rPr>
              <w:t xml:space="preserve">class_weight / RandomForest  (money winner)</w:t>
            </w:r>
          </w:p>
        </w:tc>
        <w:tc>
          <w:tcPr>
            <w:tcW w:type="dxa" w:w="13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0.671</w:t>
            </w:r>
          </w:p>
        </w:tc>
        <w:tc>
          <w:tcPr>
            <w:tcW w:type="dxa" w:w="13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0.809</w:t>
            </w:r>
          </w:p>
        </w:tc>
        <w:tc>
          <w:tcPr>
            <w:tcW w:type="dxa" w:w="13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0.821</w:t>
            </w:r>
          </w:p>
        </w:tc>
        <w:tc>
          <w:tcPr>
            <w:tcW w:type="dxa" w:w="206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$3,348</w:t>
            </w:r>
          </w:p>
        </w:tc>
      </w:tr>
      <w:tr>
        <w:tc>
          <w:tcPr>
            <w:tcW w:type="dxa" w:w="3400"/>
            <w:shd w:fill="FFFFFF" w:color="auto" w:val="clear"/>
            <w:tcMar>
              <w:top w:type="dxa" w:w="60"/>
              <w:left w:type="dxa" w:w="90"/>
              <w:bottom w:type="dxa" w:w="60"/>
              <w:right w:type="dxa" w:w="90"/>
            </w:tcMar>
          </w:tcPr>
          <w:p>
            <w:pPr>
              <w:spacing w:after="0" w:line="252"/>
              <w:jc w:val="left"/>
            </w:pPr>
            <w:r>
              <w:rPr>
                <w:b w:val="false"/>
                <w:bCs w:val="false"/>
                <w:color w:val="1A2433"/>
                <w:sz w:val="18"/>
                <w:szCs w:val="18"/>
              </w:rPr>
              <w:t xml:space="preserve">class_weight / LightGBM  (PR-AUC winner)</w:t>
            </w:r>
          </w:p>
        </w:tc>
        <w:tc>
          <w:tcPr>
            <w:tcW w:type="dxa" w:w="13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0.664</w:t>
            </w:r>
          </w:p>
        </w:tc>
        <w:tc>
          <w:tcPr>
            <w:tcW w:type="dxa" w:w="13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0.829</w:t>
            </w:r>
          </w:p>
        </w:tc>
        <w:tc>
          <w:tcPr>
            <w:tcW w:type="dxa" w:w="13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0.808</w:t>
            </w:r>
          </w:p>
        </w:tc>
        <w:tc>
          <w:tcPr>
            <w:tcW w:type="dxa" w:w="206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$3,328</w:t>
            </w:r>
          </w:p>
        </w:tc>
      </w:tr>
      <w:tr>
        <w:tc>
          <w:tcPr>
            <w:tcW w:type="dxa" w:w="3400"/>
            <w:shd w:fill="F2F5F9" w:color="auto" w:val="clear"/>
            <w:tcMar>
              <w:top w:type="dxa" w:w="60"/>
              <w:left w:type="dxa" w:w="90"/>
              <w:bottom w:type="dxa" w:w="60"/>
              <w:right w:type="dxa" w:w="90"/>
            </w:tcMar>
          </w:tcPr>
          <w:p>
            <w:pPr>
              <w:spacing w:after="0" w:line="252"/>
              <w:jc w:val="left"/>
            </w:pPr>
            <w:r>
              <w:rPr>
                <w:b w:val="false"/>
                <w:bCs w:val="false"/>
                <w:color w:val="1A2433"/>
                <w:sz w:val="18"/>
                <w:szCs w:val="18"/>
              </w:rPr>
              <w:t xml:space="preserve">SMOTE / RandomForest</w:t>
            </w:r>
          </w:p>
        </w:tc>
        <w:tc>
          <w:tcPr>
            <w:tcW w:type="dxa" w:w="13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0.541</w:t>
            </w:r>
          </w:p>
        </w:tc>
        <w:tc>
          <w:tcPr>
            <w:tcW w:type="dxa" w:w="13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0.810</w:t>
            </w:r>
          </w:p>
        </w:tc>
        <w:tc>
          <w:tcPr>
            <w:tcW w:type="dxa" w:w="13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0.807</w:t>
            </w:r>
          </w:p>
        </w:tc>
        <w:tc>
          <w:tcPr>
            <w:tcW w:type="dxa" w:w="206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$4,347</w:t>
            </w:r>
          </w:p>
        </w:tc>
      </w:tr>
      <w:tr>
        <w:tc>
          <w:tcPr>
            <w:tcW w:type="dxa" w:w="3400"/>
            <w:shd w:fill="FFFFFF" w:color="auto" w:val="clear"/>
            <w:tcMar>
              <w:top w:type="dxa" w:w="60"/>
              <w:left w:type="dxa" w:w="90"/>
              <w:bottom w:type="dxa" w:w="60"/>
              <w:right w:type="dxa" w:w="90"/>
            </w:tcMar>
          </w:tcPr>
          <w:p>
            <w:pPr>
              <w:spacing w:after="0" w:line="252"/>
              <w:jc w:val="left"/>
            </w:pPr>
            <w:r>
              <w:rPr>
                <w:b w:val="false"/>
                <w:bCs w:val="false"/>
                <w:color w:val="1A2433"/>
                <w:sz w:val="18"/>
                <w:szCs w:val="18"/>
              </w:rPr>
              <w:t xml:space="preserve">Do nothing</w:t>
            </w:r>
          </w:p>
        </w:tc>
        <w:tc>
          <w:tcPr>
            <w:tcW w:type="dxa" w:w="13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0.000</w:t>
            </w:r>
          </w:p>
        </w:tc>
        <w:tc>
          <w:tcPr>
            <w:tcW w:type="dxa" w:w="13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w:t>
            </w:r>
          </w:p>
        </w:tc>
        <w:tc>
          <w:tcPr>
            <w:tcW w:type="dxa" w:w="13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w:t>
            </w:r>
          </w:p>
        </w:tc>
        <w:tc>
          <w:tcPr>
            <w:tcW w:type="dxa" w:w="206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w:t>
            </w:r>
          </w:p>
        </w:tc>
      </w:tr>
      <w:tr>
        <w:tc>
          <w:tcPr>
            <w:tcW w:type="dxa" w:w="3400"/>
            <w:shd w:fill="F2F5F9" w:color="auto" w:val="clear"/>
            <w:tcMar>
              <w:top w:type="dxa" w:w="60"/>
              <w:left w:type="dxa" w:w="90"/>
              <w:bottom w:type="dxa" w:w="60"/>
              <w:right w:type="dxa" w:w="90"/>
            </w:tcMar>
          </w:tcPr>
          <w:p>
            <w:pPr>
              <w:spacing w:after="0" w:line="252"/>
              <w:jc w:val="left"/>
            </w:pPr>
            <w:r>
              <w:rPr>
                <w:b w:val="false"/>
                <w:bCs w:val="false"/>
                <w:color w:val="1A2433"/>
                <w:sz w:val="18"/>
                <w:szCs w:val="18"/>
              </w:rPr>
              <w:t xml:space="preserve">Block everything</w:t>
            </w:r>
          </w:p>
        </w:tc>
        <w:tc>
          <w:tcPr>
            <w:tcW w:type="dxa" w:w="13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−24.47</w:t>
            </w:r>
          </w:p>
        </w:tc>
        <w:tc>
          <w:tcPr>
            <w:tcW w:type="dxa" w:w="13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w:t>
            </w:r>
          </w:p>
        </w:tc>
        <w:tc>
          <w:tcPr>
            <w:tcW w:type="dxa" w:w="13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w:t>
            </w:r>
          </w:p>
        </w:tc>
        <w:tc>
          <w:tcPr>
            <w:tcW w:type="dxa" w:w="206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w:t>
            </w:r>
          </w:p>
        </w:tc>
      </w:tr>
    </w:tbl>
    <w:p>
      <w:pPr>
        <w:spacing w:after="160"/>
        <w:jc w:val="center"/>
      </w:pPr>
      <w:r>
        <w:rPr>
          <w:i/>
          <w:iCs/>
          <w:color w:val="5A6B7F"/>
          <w:sz w:val="17"/>
          <w:szCs w:val="17"/>
        </w:rPr>
        <w:t xml:space="preserve">Table 1. Selected results from the 5-seed money benchmark (mean over seeds). Full table: results/tables/benchmark_summary.csv.</w:t>
      </w:r>
    </w:p>
    <w:p>
      <w:pPr>
        <w:spacing w:after="120" w:line="276"/>
      </w:pPr>
      <w:r>
        <w:rPr>
          <w:sz w:val="21"/>
          <w:szCs w:val="21"/>
        </w:rPr>
        <w:t xml:space="preserve">The best honest model prevents about 67% of do-nothing losses. The PR-AUC leader (LightGBM) is </w:t>
      </w:r>
      <w:r>
        <w:rPr>
          <w:i/>
          <w:iCs/>
          <w:sz w:val="21"/>
          <w:szCs w:val="21"/>
        </w:rPr>
        <w:t xml:space="preserve">not</w:t>
      </w:r>
      <w:r>
        <w:rPr>
          <w:sz w:val="21"/>
          <w:szCs w:val="21"/>
        </w:rPr>
        <w:t xml:space="preserve"> the money leader (Random Forest), and — most tellingly — SMOTE + Random Forest is competitive on PR-AUC (0.810) yet near the bottom on savings, letting $4,347 of fraud value through versus $3,348 for the money winner (30% more). A model can rank well and still be the wrong one to deploy. Even the perfect oracle scores 0.971, not 1.0, because it correctly declines to chase sub-$5 frauds that cost more to investigate than they are worth.</w:t>
      </w:r>
    </w:p>
    <w:p>
      <w:pPr>
        <w:pStyle w:val="Heading2"/>
        <w:spacing w:after="90" w:before="180"/>
      </w:pPr>
      <w:r>
        <w:rPr>
          <w:b/>
          <w:bCs/>
          <w:color w:val="1A2433"/>
          <w:sz w:val="24"/>
          <w:szCs w:val="24"/>
        </w:rPr>
        <w:t xml:space="preserve">4.2 Decision policies and the price of calibration (E3)</w:t>
      </w:r>
    </w:p>
    <w:p>
      <w:pPr>
        <w:spacing w:after="120" w:line="276"/>
      </w:pPr>
      <w:r>
        <w:rPr>
          <w:sz w:val="21"/>
          <w:szCs w:val="21"/>
        </w:rPr>
        <w:t xml:space="preserve">We next ask whether a smarter decision rule and honest probabilities earn more money. The decision-theoretic rule — flag a transaction when </w:t>
      </w:r>
      <w:r>
        <w:rPr>
          <w:b/>
          <w:bCs/>
          <w:sz w:val="21"/>
          <w:szCs w:val="21"/>
        </w:rPr>
        <w:t xml:space="preserve">p × Amount &gt; $5</w:t>
      </w:r>
      <w:r>
        <w:rPr>
          <w:sz w:val="21"/>
          <w:szCs w:val="21"/>
        </w:rPr>
        <w:t xml:space="preserve"> (expected loss exceeds the fee) — needs no tuning but trusts the probabilities literally. Class-weighted Logistic Regression's raw probabilities are calibrated to an artificial balanced world and are inflated roughly 300-fold; fed into the rule they lose 3.5× the total fraud value (savings −3.56). A single post-hoc Platt-scaling step, fit on validation, repairs the same model to +0.67 — a swing of roughly $48,000 per test slice. Models that were already well calibrated (LightGBM) gain almost nothing. Calibration is worth money in direct proportion to how miscalibrated the model was.</w:t>
      </w:r>
    </w:p>
    <w:p>
      <w:pPr>
        <w:spacing w:after="40" w:before="80"/>
        <w:jc w:val="center"/>
      </w:pPr>
      <w:r>
        <w:drawing>
          <wp:inline distT="0" distB="0" distL="0" distR="0">
            <wp:extent cx="3238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828925"/>
                    </a:xfrm>
                    <a:prstGeom prst="rect">
                      <a:avLst/>
                    </a:prstGeom>
                  </pic:spPr>
                </pic:pic>
              </a:graphicData>
            </a:graphic>
          </wp:inline>
        </w:drawing>
      </w:r>
    </w:p>
    <w:p>
      <w:pPr>
        <w:spacing w:after="160"/>
        <w:jc w:val="center"/>
      </w:pPr>
      <w:r>
        <w:rPr>
          <w:i/>
          <w:iCs/>
          <w:color w:val="5A6B7F"/>
          <w:sz w:val="17"/>
          <w:szCs w:val="17"/>
        </w:rPr>
        <w:t xml:space="preserve">Figure 1. Reliability diagram for the showcase model on the test set: raw scores vs. Platt- and isotonic-calibrated probabilities. A well-calibrated curve tracks the diagonal.</w:t>
      </w:r>
    </w:p>
    <w:p>
      <w:pPr>
        <w:pStyle w:val="Heading2"/>
        <w:spacing w:after="90" w:before="180"/>
      </w:pPr>
      <w:r>
        <w:rPr>
          <w:b/>
          <w:bCs/>
          <w:color w:val="1A2433"/>
          <w:sz w:val="24"/>
          <w:szCs w:val="24"/>
        </w:rPr>
        <w:t xml:space="preserve">4.3 Leakage forensics: a 2⁴ factorial ablation (E4)</w:t>
      </w:r>
    </w:p>
    <w:p>
      <w:pPr>
        <w:spacing w:after="120" w:line="276"/>
      </w:pPr>
      <w:r>
        <w:rPr>
          <w:sz w:val="21"/>
          <w:szCs w:val="21"/>
        </w:rPr>
        <w:t xml:space="preserve">Rather than a single leaky-vs-safe comparison, we make each classic mistake an independent on/off factor — SMOTE-before-split, scaling on all data, keeping duplicates, tuning the threshold on the test set — and run all sixteen combinations. Every configuration is scored twice: on its own (possibly poisoned) test set, the number a flawed notebook would publish, and on a pristine holdout carved out before any mistake could act.</w:t>
      </w:r>
    </w:p>
    <w:tbl>
      <w:tblPr>
        <w:tblW w:type="dxa" w:w="9360"/>
        <w:tblBorders>
          <w:top w:val="single" w:color="D5DEE9" w:sz="2"/>
          <w:left w:val="single" w:color="D5DEE9" w:sz="2"/>
          <w:bottom w:val="single" w:color="D5DEE9" w:sz="2"/>
          <w:right w:val="single" w:color="D5DEE9" w:sz="2"/>
          <w:insideH w:val="single" w:color="D5DEE9" w:sz="2"/>
          <w:insideV w:val="single" w:color="D5DEE9" w:sz="2"/>
        </w:tblBorders>
      </w:tblPr>
      <w:tblGrid>
        <w:gridCol w:w="3000"/>
        <w:gridCol w:w="1900"/>
        <w:gridCol w:w="1560"/>
        <w:gridCol w:w="1500"/>
        <w:gridCol w:w="1400"/>
      </w:tblGrid>
      <w:tr>
        <w:trPr>
          <w:tblHeader/>
        </w:trPr>
        <w:tc>
          <w:tcPr>
            <w:tcW w:type="dxa" w:w="3000"/>
            <w:shd w:fill="14213D" w:color="auto" w:val="clear"/>
            <w:tcMar>
              <w:top w:type="dxa" w:w="60"/>
              <w:left w:type="dxa" w:w="90"/>
              <w:bottom w:type="dxa" w:w="60"/>
              <w:right w:type="dxa" w:w="90"/>
            </w:tcMar>
          </w:tcPr>
          <w:p>
            <w:pPr>
              <w:spacing w:after="0" w:line="252"/>
              <w:jc w:val="left"/>
            </w:pPr>
            <w:r>
              <w:rPr>
                <w:b/>
                <w:bCs/>
                <w:color w:val="FFFFFF"/>
                <w:sz w:val="18"/>
                <w:szCs w:val="18"/>
              </w:rPr>
              <w:t xml:space="preserve">Sin (turned on)</w:t>
            </w:r>
          </w:p>
        </w:tc>
        <w:tc>
          <w:tcPr>
            <w:tcW w:type="dxa" w:w="1900"/>
            <w:shd w:fill="14213D" w:color="auto" w:val="clear"/>
            <w:tcMar>
              <w:top w:type="dxa" w:w="60"/>
              <w:left w:type="dxa" w:w="90"/>
              <w:bottom w:type="dxa" w:w="60"/>
              <w:right w:type="dxa" w:w="90"/>
            </w:tcMar>
          </w:tcPr>
          <w:p>
            <w:pPr>
              <w:spacing w:after="0" w:line="252"/>
              <w:jc w:val="center"/>
            </w:pPr>
            <w:r>
              <w:rPr>
                <w:b/>
                <w:bCs/>
                <w:color w:val="FFFFFF"/>
                <w:sz w:val="18"/>
                <w:szCs w:val="18"/>
              </w:rPr>
              <w:t xml:space="preserve">Δ reported PR-AUC</w:t>
            </w:r>
          </w:p>
        </w:tc>
        <w:tc>
          <w:tcPr>
            <w:tcW w:type="dxa" w:w="1560"/>
            <w:shd w:fill="14213D" w:color="auto" w:val="clear"/>
            <w:tcMar>
              <w:top w:type="dxa" w:w="60"/>
              <w:left w:type="dxa" w:w="90"/>
              <w:bottom w:type="dxa" w:w="60"/>
              <w:right w:type="dxa" w:w="90"/>
            </w:tcMar>
          </w:tcPr>
          <w:p>
            <w:pPr>
              <w:spacing w:after="0" w:line="252"/>
              <w:jc w:val="center"/>
            </w:pPr>
            <w:r>
              <w:rPr>
                <w:b/>
                <w:bCs/>
                <w:color w:val="FFFFFF"/>
                <w:sz w:val="18"/>
                <w:szCs w:val="18"/>
              </w:rPr>
              <w:t xml:space="preserve">Δ true PR-AUC</w:t>
            </w:r>
          </w:p>
        </w:tc>
        <w:tc>
          <w:tcPr>
            <w:tcW w:type="dxa" w:w="1500"/>
            <w:shd w:fill="14213D" w:color="auto" w:val="clear"/>
            <w:tcMar>
              <w:top w:type="dxa" w:w="60"/>
              <w:left w:type="dxa" w:w="90"/>
              <w:bottom w:type="dxa" w:w="60"/>
              <w:right w:type="dxa" w:w="90"/>
            </w:tcMar>
          </w:tcPr>
          <w:p>
            <w:pPr>
              <w:spacing w:after="0" w:line="252"/>
              <w:jc w:val="center"/>
            </w:pPr>
            <w:r>
              <w:rPr>
                <w:b/>
                <w:bCs/>
                <w:color w:val="FFFFFF"/>
                <w:sz w:val="18"/>
                <w:szCs w:val="18"/>
              </w:rPr>
              <w:t xml:space="preserve">Δ reported F1</w:t>
            </w:r>
          </w:p>
        </w:tc>
        <w:tc>
          <w:tcPr>
            <w:tcW w:type="dxa" w:w="1400"/>
            <w:shd w:fill="14213D" w:color="auto" w:val="clear"/>
            <w:tcMar>
              <w:top w:type="dxa" w:w="60"/>
              <w:left w:type="dxa" w:w="90"/>
              <w:bottom w:type="dxa" w:w="60"/>
              <w:right w:type="dxa" w:w="90"/>
            </w:tcMar>
          </w:tcPr>
          <w:p>
            <w:pPr>
              <w:spacing w:after="0" w:line="252"/>
              <w:jc w:val="center"/>
            </w:pPr>
            <w:r>
              <w:rPr>
                <w:b/>
                <w:bCs/>
                <w:color w:val="FFFFFF"/>
                <w:sz w:val="18"/>
                <w:szCs w:val="18"/>
              </w:rPr>
              <w:t xml:space="preserve">Δ true F1</w:t>
            </w:r>
          </w:p>
        </w:tc>
      </w:tr>
      <w:tr>
        <w:tc>
          <w:tcPr>
            <w:tcW w:type="dxa" w:w="3000"/>
            <w:shd w:fill="FFFFFF" w:color="auto" w:val="clear"/>
            <w:tcMar>
              <w:top w:type="dxa" w:w="60"/>
              <w:left w:type="dxa" w:w="90"/>
              <w:bottom w:type="dxa" w:w="60"/>
              <w:right w:type="dxa" w:w="90"/>
            </w:tcMar>
          </w:tcPr>
          <w:p>
            <w:pPr>
              <w:spacing w:after="0" w:line="252"/>
              <w:jc w:val="left"/>
            </w:pPr>
            <w:r>
              <w:rPr>
                <w:b w:val="false"/>
                <w:bCs w:val="false"/>
                <w:color w:val="1A2433"/>
                <w:sz w:val="18"/>
                <w:szCs w:val="18"/>
              </w:rPr>
              <w:t xml:space="preserve">SMOTE before split</w:t>
            </w:r>
          </w:p>
        </w:tc>
        <w:tc>
          <w:tcPr>
            <w:tcW w:type="dxa" w:w="19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+0.249 ± 0.029</w:t>
            </w:r>
          </w:p>
        </w:tc>
        <w:tc>
          <w:tcPr>
            <w:tcW w:type="dxa" w:w="156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−0.000</w:t>
            </w:r>
          </w:p>
        </w:tc>
        <w:tc>
          <w:tcPr>
            <w:tcW w:type="dxa" w:w="15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+0.123</w:t>
            </w:r>
          </w:p>
        </w:tc>
        <w:tc>
          <w:tcPr>
            <w:tcW w:type="dxa" w:w="14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−0.713</w:t>
            </w:r>
          </w:p>
        </w:tc>
      </w:tr>
      <w:tr>
        <w:tc>
          <w:tcPr>
            <w:tcW w:type="dxa" w:w="3000"/>
            <w:shd w:fill="F2F5F9" w:color="auto" w:val="clear"/>
            <w:tcMar>
              <w:top w:type="dxa" w:w="60"/>
              <w:left w:type="dxa" w:w="90"/>
              <w:bottom w:type="dxa" w:w="60"/>
              <w:right w:type="dxa" w:w="90"/>
            </w:tcMar>
          </w:tcPr>
          <w:p>
            <w:pPr>
              <w:spacing w:after="0" w:line="252"/>
              <w:jc w:val="left"/>
            </w:pPr>
            <w:r>
              <w:rPr>
                <w:b w:val="false"/>
                <w:bCs w:val="false"/>
                <w:color w:val="1A2433"/>
                <w:sz w:val="18"/>
                <w:szCs w:val="18"/>
              </w:rPr>
              <w:t xml:space="preserve">Scaler fit on all data</w:t>
            </w:r>
          </w:p>
        </w:tc>
        <w:tc>
          <w:tcPr>
            <w:tcW w:type="dxa" w:w="19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+0.001</w:t>
            </w:r>
          </w:p>
        </w:tc>
        <w:tc>
          <w:tcPr>
            <w:tcW w:type="dxa" w:w="156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−0.001</w:t>
            </w:r>
          </w:p>
        </w:tc>
        <w:tc>
          <w:tcPr>
            <w:tcW w:type="dxa" w:w="15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+0.001</w:t>
            </w:r>
          </w:p>
        </w:tc>
        <w:tc>
          <w:tcPr>
            <w:tcW w:type="dxa" w:w="14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−0.000</w:t>
            </w:r>
          </w:p>
        </w:tc>
      </w:tr>
      <w:tr>
        <w:tc>
          <w:tcPr>
            <w:tcW w:type="dxa" w:w="3000"/>
            <w:shd w:fill="FFFFFF" w:color="auto" w:val="clear"/>
            <w:tcMar>
              <w:top w:type="dxa" w:w="60"/>
              <w:left w:type="dxa" w:w="90"/>
              <w:bottom w:type="dxa" w:w="60"/>
              <w:right w:type="dxa" w:w="90"/>
            </w:tcMar>
          </w:tcPr>
          <w:p>
            <w:pPr>
              <w:spacing w:after="0" w:line="252"/>
              <w:jc w:val="left"/>
            </w:pPr>
            <w:r>
              <w:rPr>
                <w:b w:val="false"/>
                <w:bCs w:val="false"/>
                <w:color w:val="1A2433"/>
                <w:sz w:val="18"/>
                <w:szCs w:val="18"/>
              </w:rPr>
              <w:t xml:space="preserve">Keep duplicate rows</w:t>
            </w:r>
          </w:p>
        </w:tc>
        <w:tc>
          <w:tcPr>
            <w:tcW w:type="dxa" w:w="19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−0.003</w:t>
            </w:r>
          </w:p>
        </w:tc>
        <w:tc>
          <w:tcPr>
            <w:tcW w:type="dxa" w:w="156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−0.002</w:t>
            </w:r>
          </w:p>
        </w:tc>
        <w:tc>
          <w:tcPr>
            <w:tcW w:type="dxa" w:w="15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+0.000</w:t>
            </w:r>
          </w:p>
        </w:tc>
        <w:tc>
          <w:tcPr>
            <w:tcW w:type="dxa" w:w="1400"/>
            <w:shd w:fill="FFFFFF"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−0.000</w:t>
            </w:r>
          </w:p>
        </w:tc>
      </w:tr>
      <w:tr>
        <w:tc>
          <w:tcPr>
            <w:tcW w:type="dxa" w:w="3000"/>
            <w:shd w:fill="F2F5F9" w:color="auto" w:val="clear"/>
            <w:tcMar>
              <w:top w:type="dxa" w:w="60"/>
              <w:left w:type="dxa" w:w="90"/>
              <w:bottom w:type="dxa" w:w="60"/>
              <w:right w:type="dxa" w:w="90"/>
            </w:tcMar>
          </w:tcPr>
          <w:p>
            <w:pPr>
              <w:spacing w:after="0" w:line="252"/>
              <w:jc w:val="left"/>
            </w:pPr>
            <w:r>
              <w:rPr>
                <w:b w:val="false"/>
                <w:bCs w:val="false"/>
                <w:color w:val="1A2433"/>
                <w:sz w:val="18"/>
                <w:szCs w:val="18"/>
              </w:rPr>
              <w:t xml:space="preserve">Tune threshold on test</w:t>
            </w:r>
          </w:p>
        </w:tc>
        <w:tc>
          <w:tcPr>
            <w:tcW w:type="dxa" w:w="19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0.000</w:t>
            </w:r>
          </w:p>
        </w:tc>
        <w:tc>
          <w:tcPr>
            <w:tcW w:type="dxa" w:w="156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0.000</w:t>
            </w:r>
          </w:p>
        </w:tc>
        <w:tc>
          <w:tcPr>
            <w:tcW w:type="dxa" w:w="15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+0.005</w:t>
            </w:r>
          </w:p>
        </w:tc>
        <w:tc>
          <w:tcPr>
            <w:tcW w:type="dxa" w:w="1400"/>
            <w:shd w:fill="F2F5F9" w:color="auto" w:val="clear"/>
            <w:tcMar>
              <w:top w:type="dxa" w:w="60"/>
              <w:left w:type="dxa" w:w="90"/>
              <w:bottom w:type="dxa" w:w="60"/>
              <w:right w:type="dxa" w:w="90"/>
            </w:tcMar>
          </w:tcPr>
          <w:p>
            <w:pPr>
              <w:spacing w:after="0" w:line="252"/>
              <w:jc w:val="center"/>
            </w:pPr>
            <w:r>
              <w:rPr>
                <w:b w:val="false"/>
                <w:bCs w:val="false"/>
                <w:color w:val="1A2433"/>
                <w:sz w:val="18"/>
                <w:szCs w:val="18"/>
              </w:rPr>
              <w:t xml:space="preserve">+0.000</w:t>
            </w:r>
          </w:p>
        </w:tc>
      </w:tr>
    </w:tbl>
    <w:p>
      <w:pPr>
        <w:spacing w:after="160"/>
        <w:jc w:val="center"/>
      </w:pPr>
      <w:r>
        <w:rPr>
          <w:i/>
          <w:iCs/>
          <w:color w:val="5A6B7F"/>
          <w:sz w:val="17"/>
          <w:szCs w:val="17"/>
        </w:rPr>
        <w:t xml:space="preserve">Table 2. Main effect of each sin, Logistic Regression, averaged over the other factors and 5 seeds (results/tables/leakage_forensics_effects.csv).</w:t>
      </w:r>
    </w:p>
    <w:p>
      <w:pPr>
        <w:spacing w:after="120" w:line="276"/>
      </w:pPr>
      <w:r>
        <w:rPr>
          <w:sz w:val="21"/>
          <w:szCs w:val="21"/>
        </w:rPr>
        <w:t xml:space="preserve">The attribution is unambiguous. </w:t>
      </w:r>
      <w:r>
        <w:rPr>
          <w:b/>
          <w:bCs/>
          <w:sz w:val="21"/>
          <w:szCs w:val="21"/>
        </w:rPr>
        <w:t xml:space="preserve">SMOTE-before-split alone accounts for essentially the entire inflation</w:t>
      </w:r>
      <w:r>
        <w:rPr>
          <w:sz w:val="21"/>
          <w:szCs w:val="21"/>
        </w:rPr>
        <w:t xml:space="preserve"> (+0.25 reported PR-AUC); every other sin is within noise of zero. And it is a poisoned test set, not a better model: the true PR-AUC moves by −0.0002. The full "Kaggle-special" pipeline reports 0.99 while its clean-holdout truth is 0.74; the honest pipeline reports 0.744 against a clean-holdout truth of 0.742 — honesty verified, not assumed. Tuning the threshold on test inflates F1 but, by construction, cannot move PR-AUC (a printed consistency check confirms exactly 0.000).</w:t>
      </w:r>
    </w:p>
    <w:p>
      <w:pPr>
        <w:spacing w:after="120" w:line="276"/>
      </w:pPr>
      <w:r>
        <w:rPr>
          <w:sz w:val="21"/>
          <w:szCs w:val="21"/>
        </w:rPr>
        <w:t xml:space="preserve">The same sin also ships a broken product. Its reported F1 is 0.95, but the identical model and threshold deployed at the real 0.17% prevalence score an F1 of </w:t>
      </w:r>
      <w:r>
        <w:rPr>
          <w:b/>
          <w:bCs/>
          <w:sz w:val="21"/>
          <w:szCs w:val="21"/>
        </w:rPr>
        <w:t xml:space="preserve">0.07</w:t>
      </w:r>
      <w:r>
        <w:rPr>
          <w:sz w:val="21"/>
          <w:szCs w:val="21"/>
        </w:rPr>
        <w:t xml:space="preserve"> — a 13.5× overstatement — because the decision threshold was tuned in an artificial balanced world and floods false alarms in reality. The mistake therefore inflicts two distinct harms: a dishonest score and a non-functional operating point.</w:t>
      </w:r>
    </w:p>
    <w:p>
      <w:pPr>
        <w:pStyle w:val="Heading2"/>
        <w:spacing w:after="90" w:before="180"/>
      </w:pPr>
      <w:r>
        <w:rPr>
          <w:b/>
          <w:bCs/>
          <w:color w:val="1A2433"/>
          <w:sz w:val="24"/>
          <w:szCs w:val="24"/>
        </w:rPr>
        <w:t xml:space="preserve">4.4 Are the differences real? A paired bootstrap (E5)</w:t>
      </w:r>
    </w:p>
    <w:p>
      <w:pPr>
        <w:spacing w:after="120" w:line="276"/>
      </w:pPr>
      <w:r>
        <w:rPr>
          <w:sz w:val="21"/>
          <w:szCs w:val="21"/>
        </w:rPr>
        <w:t xml:space="preserve">With only ~95 frauds in a test set, single-number differences may be luck. We quantify this with a paired bootstrap: the same test rows are resampled 1,000 times for every model at once, so sampling luck cancels and the confidence interval lands on the difference between models.</w:t>
      </w:r>
    </w:p>
    <w:p>
      <w:pPr>
        <w:spacing w:after="40" w:before="80"/>
        <w:jc w:val="center"/>
      </w:pPr>
      <w:r>
        <w:drawing>
          <wp:inline distT="0" distB="0" distL="0" distR="0">
            <wp:extent cx="4572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57475"/>
                    </a:xfrm>
                    <a:prstGeom prst="rect">
                      <a:avLst/>
                    </a:prstGeom>
                  </pic:spPr>
                </pic:pic>
              </a:graphicData>
            </a:graphic>
          </wp:inline>
        </w:drawing>
      </w:r>
    </w:p>
    <w:p>
      <w:pPr>
        <w:spacing w:after="160"/>
        <w:jc w:val="center"/>
      </w:pPr>
      <w:r>
        <w:rPr>
          <w:i/>
          <w:iCs/>
          <w:color w:val="5A6B7F"/>
          <w:sz w:val="17"/>
          <w:szCs w:val="17"/>
        </w:rPr>
        <w:t xml:space="preserve">Figure 2. Paired 95% confidence intervals on PR-AUC differences (leader vs. challengers, per seed). Every interval crosses zero — no PR-AUC ranking is statistically distinguishable.</w:t>
      </w:r>
    </w:p>
    <w:p>
      <w:pPr>
        <w:spacing w:after="120" w:line="276"/>
      </w:pPr>
      <w:r>
        <w:rPr>
          <w:sz w:val="21"/>
          <w:szCs w:val="21"/>
        </w:rPr>
        <w:t xml:space="preserve">Every pairwise PR-AUC "win" among our top models is statistically indistinguishable — LightGBM's 0.005 edge over XGBoost straddles zero in every seed, and the PR-AUC leader even changes between seed sets. The single-number leaderboard is noise at this scale. We then applied the same test to </w:t>
      </w:r>
      <w:r>
        <w:rPr>
          <w:i/>
          <w:iCs/>
          <w:sz w:val="21"/>
          <w:szCs w:val="21"/>
        </w:rPr>
        <w:t xml:space="preserve">our own</w:t>
      </w:r>
      <w:r>
        <w:rPr>
          <w:sz w:val="21"/>
          <w:szCs w:val="21"/>
        </w:rPr>
        <w:t xml:space="preserve"> headline money result. On the discovery seeds its interval merely touched zero, so we pre-registered the comparison and re-ran it on fresh seeds 3–4, where both intervals exclude zero (seed 3: [+0.084, +0.227]; seed 4: [+0.058, +0.167]). The money gap is therefore confirmed on held-out data — a discovery → pre-register → confirm sequence that we report exactly.</w:t>
      </w:r>
    </w:p>
    <w:p>
      <w:pPr>
        <w:pStyle w:val="Heading2"/>
        <w:spacing w:after="90" w:before="180"/>
      </w:pPr>
      <w:r>
        <w:rPr>
          <w:b/>
          <w:bCs/>
          <w:color w:val="1A2433"/>
          <w:sz w:val="24"/>
          <w:szCs w:val="24"/>
        </w:rPr>
        <w:t xml:space="preserve">4.5 Out-of-time robustness (E6)</w:t>
      </w:r>
    </w:p>
    <w:p>
      <w:pPr>
        <w:spacing w:after="120" w:line="276"/>
      </w:pPr>
      <w:r>
        <w:rPr>
          <w:sz w:val="21"/>
          <w:szCs w:val="21"/>
        </w:rPr>
        <w:t xml:space="preserve">Training on the earliest transactions and testing on the latest — how a deployed system actually operates — reduces the best model's savings from ~0.67 to ~0.61, and reorders the leaderboard (the stratified PR-AUC leader is no longer on top). Forward-in-time prediction is measurably harder than the random split every tutorial uses. Because the dataset spans only two days, we treat this as a robustness check rather than a concept-drift study, and say so.</w:t>
      </w:r>
    </w:p>
    <w:p>
      <w:pPr>
        <w:pStyle w:val="Heading2"/>
        <w:spacing w:after="90" w:before="180"/>
      </w:pPr>
      <w:r>
        <w:rPr>
          <w:b/>
          <w:bCs/>
          <w:color w:val="1A2433"/>
          <w:sz w:val="24"/>
          <w:szCs w:val="24"/>
        </w:rPr>
        <w:t xml:space="preserve">4.6 Interpretability and error economics (E7)</w:t>
      </w:r>
    </w:p>
    <w:p>
      <w:pPr>
        <w:spacing w:after="120" w:line="276"/>
      </w:pPr>
      <w:r>
        <w:rPr>
          <w:sz w:val="21"/>
          <w:szCs w:val="21"/>
        </w:rPr>
        <w:t xml:space="preserve">We open the model three ways. Globally, permutation importance and SHAP agree on the dominant drivers (components V14, V4, V11, V12); we are careful that, because the features are anonymised principal components, these identify influential components, not human-readable causes — a genuine interpretability ceiling of this dataset.</w:t>
      </w:r>
    </w:p>
    <w:p>
      <w:pPr>
        <w:spacing w:after="40" w:before="80"/>
        <w:jc w:val="center"/>
      </w:pPr>
      <w:r>
        <w:drawing>
          <wp:inline distT="0" distB="0" distL="0" distR="0">
            <wp:extent cx="2857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438400"/>
                    </a:xfrm>
                    <a:prstGeom prst="rect">
                      <a:avLst/>
                    </a:prstGeom>
                  </pic:spPr>
                </pic:pic>
              </a:graphicData>
            </a:graphic>
          </wp:inline>
        </w:drawing>
      </w:r>
    </w:p>
    <w:p>
      <w:pPr>
        <w:spacing w:after="160"/>
        <w:jc w:val="center"/>
      </w:pPr>
      <w:r>
        <w:rPr>
          <w:i/>
          <w:iCs/>
          <w:color w:val="5A6B7F"/>
          <w:sz w:val="17"/>
          <w:szCs w:val="17"/>
        </w:rPr>
        <w:t xml:space="preserve">Figure 3. Permutation importance (drop in PR-AUC when each feature is shuffled) for the showcase model on the test set.</w:t>
      </w:r>
    </w:p>
    <w:p>
      <w:pPr>
        <w:spacing w:after="40" w:before="80"/>
        <w:jc w:val="center"/>
      </w:pPr>
      <w:r>
        <w:drawing>
          <wp:inline distT="0" distB="0" distL="0" distR="0">
            <wp:extent cx="2857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571750"/>
                    </a:xfrm>
                    <a:prstGeom prst="rect">
                      <a:avLst/>
                    </a:prstGeom>
                  </pic:spPr>
                </pic:pic>
              </a:graphicData>
            </a:graphic>
          </wp:inline>
        </w:drawing>
      </w:r>
    </w:p>
    <w:p>
      <w:pPr>
        <w:spacing w:after="160"/>
        <w:jc w:val="center"/>
      </w:pPr>
      <w:r>
        <w:rPr>
          <w:i/>
          <w:iCs/>
          <w:color w:val="5A6B7F"/>
          <w:sz w:val="17"/>
          <w:szCs w:val="17"/>
        </w:rPr>
        <w:t xml:space="preserve">Figure 4. SHAP global importance (mean |SHAP value|) for the showcase model; it independently agrees that V14 and V12 are top drivers.</w:t>
      </w:r>
    </w:p>
    <w:p>
      <w:pPr>
        <w:spacing w:after="120" w:line="276"/>
      </w:pPr>
      <w:r>
        <w:rPr>
          <w:sz w:val="21"/>
          <w:szCs w:val="21"/>
        </w:rPr>
        <w:t xml:space="preserve">Locally, two case studies are instructive. The model's most confident false alarm was a </w:t>
      </w:r>
      <w:r>
        <w:rPr>
          <w:b/>
          <w:bCs/>
          <w:sz w:val="21"/>
          <w:szCs w:val="21"/>
        </w:rPr>
        <w:t xml:space="preserve">$2.00</w:t>
      </w:r>
      <w:r>
        <w:rPr>
          <w:sz w:val="21"/>
          <w:szCs w:val="21"/>
        </w:rPr>
        <w:t xml:space="preserve"> transaction (score 0.687) — even a correct alert there loses money, which is exactly why the per-transaction rule of §4.2 exists. Its most expensive miss, </w:t>
      </w:r>
      <w:r>
        <w:rPr>
          <w:b/>
          <w:bCs/>
          <w:sz w:val="21"/>
          <w:szCs w:val="21"/>
        </w:rPr>
        <w:t xml:space="preserve">$1,097</w:t>
      </w:r>
      <w:r>
        <w:rPr>
          <w:sz w:val="21"/>
          <w:szCs w:val="21"/>
        </w:rPr>
        <w:t xml:space="preserve">, scored 0.000: SHAP shows the strongest global fraud signals both pointed "legitimate", so it is a genuine blind spot, not a near-miss. Finally, an error-economics view by amount band shows misses are wildly unequal: nine missed frauds under $5 cost $14 in total, whereas two missed frauds over $100 cost $1,646. Error analysis for fraud must be economic, not merely counted.</w:t>
      </w:r>
    </w:p>
    <w:p>
      <w:pPr>
        <w:pStyle w:val="Heading2"/>
        <w:spacing w:after="90" w:before="180"/>
      </w:pPr>
      <w:r>
        <w:rPr>
          <w:b/>
          <w:bCs/>
          <w:color w:val="1A2433"/>
          <w:sz w:val="24"/>
          <w:szCs w:val="24"/>
        </w:rPr>
        <w:t xml:space="preserve">4.7 Leakage-safe hyperparameter optimisation (E8)</w:t>
      </w:r>
    </w:p>
    <w:p>
      <w:pPr>
        <w:spacing w:after="120" w:line="276"/>
      </w:pPr>
      <w:r>
        <w:rPr>
          <w:sz w:val="21"/>
          <w:szCs w:val="21"/>
        </w:rPr>
        <w:t xml:space="preserve">A RandomizedSearchCV over LightGBM, run entirely inside the leakage-safe pipeline (cross-validation on the training split only), improved cross-validated average precision but did not move test-set performance beyond the bootstrap noise floor (PR-AUC 0.886 → 0.881; savings 0.783 → 0.797, both within ±0.02). With only ~280 training frauds, hyperparameter search largely polishes noise. We report this honest null result rather than cherry-picking a favourable run.</w:t>
      </w:r>
    </w:p>
    <w:p>
      <w:pPr>
        <w:pStyle w:val="Heading1"/>
        <w:spacing w:after="120" w:before="260"/>
      </w:pPr>
      <w:r>
        <w:rPr>
          <w:rFonts w:ascii="Cambria" w:cs="Cambria" w:eastAsia="Cambria" w:hAnsi="Cambria"/>
          <w:b/>
          <w:bCs/>
          <w:color w:val="14213D"/>
          <w:sz w:val="30"/>
          <w:szCs w:val="30"/>
        </w:rPr>
        <w:t xml:space="preserve">5. Discussion: Limitations, Uncertainty, Drift, and Bias</w:t>
      </w:r>
    </w:p>
    <w:p>
      <w:pPr>
        <w:pStyle w:val="ListParagraph"/>
        <w:numPr>
          <w:ilvl w:val="0"/>
          <w:numId w:val="2"/>
        </w:numPr>
        <w:spacing w:after="80" w:line="268"/>
      </w:pPr>
      <w:r>
        <w:rPr>
          <w:b/>
          <w:bCs/>
          <w:sz w:val="21"/>
          <w:szCs w:val="21"/>
        </w:rPr>
        <w:t xml:space="preserve">Leakage. </w:t>
      </w:r>
      <w:r>
        <w:rPr>
          <w:sz w:val="21"/>
          <w:szCs w:val="21"/>
        </w:rPr>
        <w:t xml:space="preserve">Addressed directly and quantified (§4.3); our pipeline prevents it by construction, and we measured the cost of violating it.</w:t>
      </w:r>
    </w:p>
    <w:p>
      <w:pPr>
        <w:pStyle w:val="ListParagraph"/>
        <w:numPr>
          <w:ilvl w:val="0"/>
          <w:numId w:val="2"/>
        </w:numPr>
        <w:spacing w:after="80" w:line="268"/>
      </w:pPr>
      <w:r>
        <w:rPr>
          <w:b/>
          <w:bCs/>
          <w:sz w:val="21"/>
          <w:szCs w:val="21"/>
        </w:rPr>
        <w:t xml:space="preserve">Uncertainty. </w:t>
      </w:r>
      <w:r>
        <w:rPr>
          <w:sz w:val="21"/>
          <w:szCs w:val="21"/>
        </w:rPr>
        <w:t xml:space="preserve">All headline numbers carry seed-to-seed standard deviations, and comparisons use paired bootstrap confidence intervals. The top savings cluster (0.671 / 0.664 / 0.656) is within noise, which is why we do not over-claim a single "best" model on PR-AUC.</w:t>
      </w:r>
    </w:p>
    <w:p>
      <w:pPr>
        <w:pStyle w:val="ListParagraph"/>
        <w:numPr>
          <w:ilvl w:val="0"/>
          <w:numId w:val="2"/>
        </w:numPr>
        <w:spacing w:after="80" w:line="268"/>
      </w:pPr>
      <w:r>
        <w:rPr>
          <w:b/>
          <w:bCs/>
          <w:sz w:val="21"/>
          <w:szCs w:val="21"/>
        </w:rPr>
        <w:t xml:space="preserve">Drift. </w:t>
      </w:r>
      <w:r>
        <w:rPr>
          <w:sz w:val="21"/>
          <w:szCs w:val="21"/>
        </w:rPr>
        <w:t xml:space="preserve">The out-of-time split (§4.5) shows performance degrades on future data. The 2-day span limits this to a robustness check, not a longitudinal drift study.</w:t>
      </w:r>
    </w:p>
    <w:p>
      <w:pPr>
        <w:pStyle w:val="ListParagraph"/>
        <w:numPr>
          <w:ilvl w:val="0"/>
          <w:numId w:val="2"/>
        </w:numPr>
        <w:spacing w:after="80" w:line="268"/>
      </w:pPr>
      <w:r>
        <w:rPr>
          <w:b/>
          <w:bCs/>
          <w:sz w:val="21"/>
          <w:szCs w:val="21"/>
        </w:rPr>
        <w:t xml:space="preserve">Bias / fairness. </w:t>
      </w:r>
      <w:r>
        <w:rPr>
          <w:sz w:val="21"/>
          <w:szCs w:val="21"/>
        </w:rPr>
        <w:t xml:space="preserve">The features are anonymised principal components with no demographic attributes, so a formal fairness analysis is impossible — we state this rather than implying a fairness guarantee.</w:t>
      </w:r>
    </w:p>
    <w:p>
      <w:pPr>
        <w:pStyle w:val="ListParagraph"/>
        <w:numPr>
          <w:ilvl w:val="0"/>
          <w:numId w:val="2"/>
        </w:numPr>
        <w:spacing w:after="80" w:line="268"/>
      </w:pPr>
      <w:r>
        <w:rPr>
          <w:b/>
          <w:bCs/>
          <w:sz w:val="21"/>
          <w:szCs w:val="21"/>
        </w:rPr>
        <w:t xml:space="preserve">Cost-model assumption. </w:t>
      </w:r>
      <w:r>
        <w:rPr>
          <w:sz w:val="21"/>
          <w:szCs w:val="21"/>
        </w:rPr>
        <w:t xml:space="preserve">The $5 fee is an assumption exposed as a single configuration constant; savings conclusions should be read relative to it, and the framework re-runs under any cost.</w:t>
      </w:r>
    </w:p>
    <w:p>
      <w:pPr>
        <w:pStyle w:val="ListParagraph"/>
        <w:numPr>
          <w:ilvl w:val="0"/>
          <w:numId w:val="2"/>
        </w:numPr>
        <w:spacing w:after="80" w:line="268"/>
      </w:pPr>
      <w:r>
        <w:rPr>
          <w:b/>
          <w:bCs/>
          <w:sz w:val="21"/>
          <w:szCs w:val="21"/>
        </w:rPr>
        <w:t xml:space="preserve">External validity. </w:t>
      </w:r>
      <w:r>
        <w:rPr>
          <w:sz w:val="21"/>
          <w:szCs w:val="21"/>
        </w:rPr>
        <w:t xml:space="preserve">A single, anonymised, 2-day European dataset is not representative of all deployment settings; the methodology, not the specific numbers, is the transferable contribution.</w:t>
      </w:r>
    </w:p>
    <w:p>
      <w:pPr>
        <w:pStyle w:val="Heading1"/>
        <w:spacing w:after="120" w:before="260"/>
      </w:pPr>
      <w:r>
        <w:rPr>
          <w:rFonts w:ascii="Cambria" w:cs="Cambria" w:eastAsia="Cambria" w:hAnsi="Cambria"/>
          <w:b/>
          <w:bCs/>
          <w:color w:val="14213D"/>
          <w:sz w:val="30"/>
          <w:szCs w:val="30"/>
        </w:rPr>
        <w:t xml:space="preserve">6. Engineering Workflow and Reproducibility</w:t>
      </w:r>
    </w:p>
    <w:p>
      <w:pPr>
        <w:spacing w:after="120" w:line="276"/>
      </w:pPr>
      <w:r>
        <w:rPr>
          <w:sz w:val="21"/>
          <w:szCs w:val="21"/>
        </w:rPr>
        <w:t xml:space="preserve">Every experiment followed a build → adversarially review → fix → verify loop, and the reviews caught real defects in our own work before they reached any result: a "clean" holdout that was contaminated in feature space (the 9,144-duplicate finding), a headline metric that was inadvertently selecting the better calibrator on test data, a misspecified Platt implementation, and a pre-registered hypothesis that was mathematically incapable of failing (reframed as a consistency check). Applying the project's own skepticism to the project is itself part of the methodology.</w:t>
      </w:r>
    </w:p>
    <w:p>
      <w:pPr>
        <w:spacing w:after="120" w:line="276"/>
      </w:pPr>
      <w:r>
        <w:rPr>
          <w:sz w:val="21"/>
          <w:szCs w:val="21"/>
        </w:rPr>
        <w:t xml:space="preserve">The repository is organised as a small library (src/: data, pipeline, models, evaluation, calibration, explainability, statistics) plus one script per experiment (experiments/). Every table and figure is regenerated by a single command; seeds are fixed and dependencies pinned, so a fresh clone reproduces our numbers exactly. Reproduction commands are listed in Appendix A.</w:t>
      </w:r>
    </w:p>
    <w:p>
      <w:pPr>
        <w:pStyle w:val="Heading1"/>
        <w:spacing w:after="120" w:before="260"/>
      </w:pPr>
      <w:r>
        <w:rPr>
          <w:rFonts w:ascii="Cambria" w:cs="Cambria" w:eastAsia="Cambria" w:hAnsi="Cambria"/>
          <w:b/>
          <w:bCs/>
          <w:color w:val="14213D"/>
          <w:sz w:val="30"/>
          <w:szCs w:val="30"/>
        </w:rPr>
        <w:t xml:space="preserve">7. Conclusion</w:t>
      </w:r>
    </w:p>
    <w:p>
      <w:pPr>
        <w:spacing w:after="120" w:line="276"/>
      </w:pPr>
      <w:r>
        <w:rPr>
          <w:sz w:val="21"/>
          <w:szCs w:val="21"/>
        </w:rPr>
        <w:t xml:space="preserve">We set out to build not merely a fraud model but an honestly evaluated one. The resulting workflow prevents data leakage by construction, evaluates in money rather than abstract scores, and demonstrates — through a factorial ablation, a paired bootstrap, and a confirmatory re-test — that one common shortcut causes almost all of the inflation seen in typical projects, that classification scores and monetary value are different rankings, that probability calibration has a measurable dollar value, and that most model "wins" at this data scale are statistical noise. Four numbers summarise the study: 0.99 vs 0.74 (the reported-versus-true gap of a leaky pipeline), ~$48,000 (the value of honest probabilities), 13.5× (how badly one sin overstates a deployed model), and 95 (the fraud count that makes every claim require an interval). The work is fully reproducible and, we hope, a useful template for evaluating rare-event classifiers honestly.</w:t>
      </w:r>
    </w:p>
    <w:p>
      <w:pPr>
        <w:pStyle w:val="Heading1"/>
        <w:spacing w:after="120" w:before="260"/>
      </w:pPr>
      <w:r>
        <w:rPr>
          <w:rFonts w:ascii="Cambria" w:cs="Cambria" w:eastAsia="Cambria" w:hAnsi="Cambria"/>
          <w:b/>
          <w:bCs/>
          <w:color w:val="14213D"/>
          <w:sz w:val="30"/>
          <w:szCs w:val="30"/>
        </w:rPr>
        <w:t xml:space="preserve">References</w:t>
      </w:r>
    </w:p>
    <w:p>
      <w:pPr>
        <w:spacing w:after="90" w:line="264"/>
        <w:ind w:left="360" w:hanging="360"/>
      </w:pPr>
      <w:r>
        <w:rPr>
          <w:sz w:val="20"/>
          <w:szCs w:val="20"/>
        </w:rPr>
        <w:t xml:space="preserve">[1]  </w:t>
      </w:r>
      <w:r>
        <w:rPr>
          <w:sz w:val="20"/>
          <w:szCs w:val="20"/>
        </w:rPr>
        <w:t xml:space="preserve">Dal Pozzolo, A., Caelen, O., Johnson, R. A., &amp; Bontempi, G. (2015). Calibrating probability with undersampling for unbalanced classification. IEEE Symposium Series on Computational Intelligence, 159–166.</w:t>
      </w:r>
    </w:p>
    <w:p>
      <w:pPr>
        <w:spacing w:after="90" w:line="264"/>
        <w:ind w:left="360" w:hanging="360"/>
      </w:pPr>
      <w:r>
        <w:rPr>
          <w:sz w:val="20"/>
          <w:szCs w:val="20"/>
        </w:rPr>
        <w:t xml:space="preserve">[2]  </w:t>
      </w:r>
      <w:r>
        <w:rPr>
          <w:sz w:val="20"/>
          <w:szCs w:val="20"/>
        </w:rPr>
        <w:t xml:space="preserve">Bahnsen, A. C., Aouada, D., &amp; Ottersten, B. (2014). Example-dependent cost-sensitive logistic regression for credit scoring. IEEE ICMLA, 263–269.</w:t>
      </w:r>
    </w:p>
    <w:p>
      <w:pPr>
        <w:spacing w:after="90" w:line="264"/>
        <w:ind w:left="360" w:hanging="360"/>
      </w:pPr>
      <w:r>
        <w:rPr>
          <w:sz w:val="20"/>
          <w:szCs w:val="20"/>
        </w:rPr>
        <w:t xml:space="preserve">[3]  </w:t>
      </w:r>
      <w:r>
        <w:rPr>
          <w:sz w:val="20"/>
          <w:szCs w:val="20"/>
        </w:rPr>
        <w:t xml:space="preserve">Chawla, N. V., Bowyer, K. W., Hall, L. O., &amp; Kegelmeyer, W. P. (2002). SMOTE: Synthetic Minority Over-sampling Technique. Journal of Artificial Intelligence Research, 16, 321–357.</w:t>
      </w:r>
    </w:p>
    <w:p>
      <w:pPr>
        <w:spacing w:after="90" w:line="264"/>
        <w:ind w:left="360" w:hanging="360"/>
      </w:pPr>
      <w:r>
        <w:rPr>
          <w:sz w:val="20"/>
          <w:szCs w:val="20"/>
        </w:rPr>
        <w:t xml:space="preserve">[4]  </w:t>
      </w:r>
      <w:r>
        <w:rPr>
          <w:sz w:val="20"/>
          <w:szCs w:val="20"/>
        </w:rPr>
        <w:t xml:space="preserve">Lundberg, S. M., &amp; Lee, S.-I. (2017). A unified approach to interpreting model predictions (SHAP). Advances in Neural Information Processing Systems, 30.</w:t>
      </w:r>
    </w:p>
    <w:p>
      <w:pPr>
        <w:spacing w:after="90" w:line="264"/>
        <w:ind w:left="360" w:hanging="360"/>
      </w:pPr>
      <w:r>
        <w:rPr>
          <w:sz w:val="20"/>
          <w:szCs w:val="20"/>
        </w:rPr>
        <w:t xml:space="preserve">[5]  </w:t>
      </w:r>
      <w:r>
        <w:rPr>
          <w:sz w:val="20"/>
          <w:szCs w:val="20"/>
        </w:rPr>
        <w:t xml:space="preserve">Saito, T., &amp; Rehmsmeier, M. (2015). The precision-recall plot is more informative than the ROC plot on imbalanced datasets. PLoS ONE, 10(3).</w:t>
      </w:r>
    </w:p>
    <w:p>
      <w:pPr>
        <w:spacing w:after="90" w:line="264"/>
        <w:ind w:left="360" w:hanging="360"/>
      </w:pPr>
      <w:r>
        <w:rPr>
          <w:sz w:val="20"/>
          <w:szCs w:val="20"/>
        </w:rPr>
        <w:t xml:space="preserve">[6]  </w:t>
      </w:r>
      <w:r>
        <w:rPr>
          <w:sz w:val="20"/>
          <w:szCs w:val="20"/>
        </w:rPr>
        <w:t xml:space="preserve">Pedregosa, F., et al. (2011). Scikit-learn: Machine Learning in Python. JMLR, 12, 2825–2830.</w:t>
      </w:r>
    </w:p>
    <w:p>
      <w:pPr>
        <w:spacing w:after="90" w:line="264"/>
        <w:ind w:left="360" w:hanging="360"/>
      </w:pPr>
      <w:r>
        <w:rPr>
          <w:sz w:val="20"/>
          <w:szCs w:val="20"/>
        </w:rPr>
        <w:t xml:space="preserve">[7]  </w:t>
      </w:r>
      <w:r>
        <w:rPr>
          <w:sz w:val="20"/>
          <w:szCs w:val="20"/>
        </w:rPr>
        <w:t xml:space="preserve">ULB Machine Learning Group. Credit Card Fraud Detection dataset. Kaggle: mlg-ulb/creditcardfraud.</w:t>
      </w:r>
    </w:p>
    <w:p>
      <w:r>
        <w:br w:type="page"/>
      </w:r>
    </w:p>
    <w:p>
      <w:pPr>
        <w:pStyle w:val="Heading1"/>
        <w:spacing w:after="120" w:before="260"/>
      </w:pPr>
      <w:r>
        <w:rPr>
          <w:rFonts w:ascii="Cambria" w:cs="Cambria" w:eastAsia="Cambria" w:hAnsi="Cambria"/>
          <w:b/>
          <w:bCs/>
          <w:color w:val="14213D"/>
          <w:sz w:val="30"/>
          <w:szCs w:val="30"/>
        </w:rPr>
        <w:t xml:space="preserve">Appendix A. Reproducing the Results</w:t>
      </w:r>
    </w:p>
    <w:p>
      <w:pPr>
        <w:spacing w:after="120" w:line="276"/>
      </w:pPr>
      <w:r>
        <w:rPr>
          <w:sz w:val="21"/>
          <w:szCs w:val="21"/>
        </w:rPr>
        <w:t xml:space="preserve">From the repository root, after installing requirements and placing creditcard.csv in data/raw/:</w:t>
      </w:r>
    </w:p>
    <w:tbl>
      <w:tblPr>
        <w:tblW w:type="dxa" w:w="9360"/>
        <w:tblBorders>
          <w:top w:val="single" w:color="D5DEE9" w:sz="2"/>
          <w:left w:val="single" w:color="D5DEE9" w:sz="2"/>
          <w:bottom w:val="single" w:color="D5DEE9" w:sz="2"/>
          <w:right w:val="single" w:color="D5DEE9" w:sz="2"/>
          <w:insideH w:val="single" w:color="D5DEE9" w:sz="2"/>
          <w:insideV w:val="single" w:color="D5DEE9" w:sz="2"/>
        </w:tblBorders>
      </w:tblPr>
      <w:tblGrid>
        <w:gridCol w:w="4600"/>
        <w:gridCol w:w="4760"/>
      </w:tblGrid>
      <w:tr>
        <w:trPr>
          <w:tblHeader/>
        </w:trPr>
        <w:tc>
          <w:tcPr>
            <w:tcW w:type="dxa" w:w="4600"/>
            <w:shd w:fill="14213D" w:color="auto" w:val="clear"/>
            <w:tcMar>
              <w:top w:type="dxa" w:w="60"/>
              <w:left w:type="dxa" w:w="90"/>
              <w:bottom w:type="dxa" w:w="60"/>
              <w:right w:type="dxa" w:w="90"/>
            </w:tcMar>
          </w:tcPr>
          <w:p>
            <w:pPr>
              <w:spacing w:after="0" w:line="252"/>
              <w:jc w:val="left"/>
            </w:pPr>
            <w:r>
              <w:rPr>
                <w:b/>
                <w:bCs/>
                <w:color w:val="FFFFFF"/>
                <w:sz w:val="18"/>
                <w:szCs w:val="18"/>
              </w:rPr>
              <w:t xml:space="preserve">Command</w:t>
            </w:r>
          </w:p>
        </w:tc>
        <w:tc>
          <w:tcPr>
            <w:tcW w:type="dxa" w:w="4760"/>
            <w:shd w:fill="14213D" w:color="auto" w:val="clear"/>
            <w:tcMar>
              <w:top w:type="dxa" w:w="60"/>
              <w:left w:type="dxa" w:w="90"/>
              <w:bottom w:type="dxa" w:w="60"/>
              <w:right w:type="dxa" w:w="90"/>
            </w:tcMar>
          </w:tcPr>
          <w:p>
            <w:pPr>
              <w:spacing w:after="0" w:line="252"/>
              <w:jc w:val="left"/>
            </w:pPr>
            <w:r>
              <w:rPr>
                <w:b/>
                <w:bCs/>
                <w:color w:val="FFFFFF"/>
                <w:sz w:val="18"/>
                <w:szCs w:val="18"/>
              </w:rPr>
              <w:t xml:space="preserve">What it produces</w:t>
            </w:r>
          </w:p>
        </w:tc>
      </w:tr>
      <w:tr>
        <w:tc>
          <w:tcPr>
            <w:tcW w:type="dxa" w:w="4600"/>
            <w:shd w:fill="FFFFFF" w:color="auto" w:val="clear"/>
            <w:tcMar>
              <w:top w:type="dxa" w:w="60"/>
              <w:left w:type="dxa" w:w="90"/>
              <w:bottom w:type="dxa" w:w="60"/>
              <w:right w:type="dxa" w:w="90"/>
            </w:tcMar>
          </w:tcPr>
          <w:p>
            <w:pPr>
              <w:spacing w:after="0" w:line="252"/>
              <w:jc w:val="left"/>
            </w:pPr>
            <w:r>
              <w:rPr>
                <w:rFonts w:ascii="Courier New" w:cs="Courier New" w:eastAsia="Courier New" w:hAnsi="Courier New"/>
                <w:color w:val="14213D"/>
                <w:sz w:val="17"/>
                <w:szCs w:val="17"/>
              </w:rPr>
              <w:t xml:space="preserve">python -m experiments.run_benchmark</w:t>
            </w:r>
          </w:p>
        </w:tc>
        <w:tc>
          <w:tcPr>
            <w:tcW w:type="dxa" w:w="4760"/>
            <w:shd w:fill="FFFFFF" w:color="auto" w:val="clear"/>
            <w:tcMar>
              <w:top w:type="dxa" w:w="60"/>
              <w:left w:type="dxa" w:w="90"/>
              <w:bottom w:type="dxa" w:w="60"/>
              <w:right w:type="dxa" w:w="90"/>
            </w:tcMar>
          </w:tcPr>
          <w:p>
            <w:pPr>
              <w:spacing w:after="0" w:line="252"/>
              <w:jc w:val="left"/>
            </w:pPr>
            <w:r>
              <w:rPr>
                <w:b w:val="false"/>
                <w:bCs w:val="false"/>
                <w:color w:val="1A2433"/>
                <w:sz w:val="18"/>
                <w:szCs w:val="18"/>
              </w:rPr>
              <w:t xml:space="preserve">E1/E2 — money benchmark, imbalance ablation, leaky-vs-safe</w:t>
            </w:r>
          </w:p>
        </w:tc>
      </w:tr>
      <w:tr>
        <w:tc>
          <w:tcPr>
            <w:tcW w:type="dxa" w:w="4600"/>
            <w:shd w:fill="F2F5F9" w:color="auto" w:val="clear"/>
            <w:tcMar>
              <w:top w:type="dxa" w:w="60"/>
              <w:left w:type="dxa" w:w="90"/>
              <w:bottom w:type="dxa" w:w="60"/>
              <w:right w:type="dxa" w:w="90"/>
            </w:tcMar>
          </w:tcPr>
          <w:p>
            <w:pPr>
              <w:spacing w:after="0" w:line="252"/>
              <w:jc w:val="left"/>
            </w:pPr>
            <w:r>
              <w:rPr>
                <w:rFonts w:ascii="Courier New" w:cs="Courier New" w:eastAsia="Courier New" w:hAnsi="Courier New"/>
                <w:color w:val="14213D"/>
                <w:sz w:val="17"/>
                <w:szCs w:val="17"/>
              </w:rPr>
              <w:t xml:space="preserve">python -m experiments.run_policy_ladder</w:t>
            </w:r>
          </w:p>
        </w:tc>
        <w:tc>
          <w:tcPr>
            <w:tcW w:type="dxa" w:w="4760"/>
            <w:shd w:fill="F2F5F9" w:color="auto" w:val="clear"/>
            <w:tcMar>
              <w:top w:type="dxa" w:w="60"/>
              <w:left w:type="dxa" w:w="90"/>
              <w:bottom w:type="dxa" w:w="60"/>
              <w:right w:type="dxa" w:w="90"/>
            </w:tcMar>
          </w:tcPr>
          <w:p>
            <w:pPr>
              <w:spacing w:after="0" w:line="252"/>
              <w:jc w:val="left"/>
            </w:pPr>
            <w:r>
              <w:rPr>
                <w:b w:val="false"/>
                <w:bCs w:val="false"/>
                <w:color w:val="1A2433"/>
                <w:sz w:val="18"/>
                <w:szCs w:val="18"/>
              </w:rPr>
              <w:t xml:space="preserve">E3 — decision policies × calibration, priced in dollars</w:t>
            </w:r>
          </w:p>
        </w:tc>
      </w:tr>
      <w:tr>
        <w:tc>
          <w:tcPr>
            <w:tcW w:type="dxa" w:w="4600"/>
            <w:shd w:fill="FFFFFF" w:color="auto" w:val="clear"/>
            <w:tcMar>
              <w:top w:type="dxa" w:w="60"/>
              <w:left w:type="dxa" w:w="90"/>
              <w:bottom w:type="dxa" w:w="60"/>
              <w:right w:type="dxa" w:w="90"/>
            </w:tcMar>
          </w:tcPr>
          <w:p>
            <w:pPr>
              <w:spacing w:after="0" w:line="252"/>
              <w:jc w:val="left"/>
            </w:pPr>
            <w:r>
              <w:rPr>
                <w:rFonts w:ascii="Courier New" w:cs="Courier New" w:eastAsia="Courier New" w:hAnsi="Courier New"/>
                <w:color w:val="14213D"/>
                <w:sz w:val="17"/>
                <w:szCs w:val="17"/>
              </w:rPr>
              <w:t xml:space="preserve">python -m experiments.run_leakage_forensics</w:t>
            </w:r>
          </w:p>
        </w:tc>
        <w:tc>
          <w:tcPr>
            <w:tcW w:type="dxa" w:w="4760"/>
            <w:shd w:fill="FFFFFF" w:color="auto" w:val="clear"/>
            <w:tcMar>
              <w:top w:type="dxa" w:w="60"/>
              <w:left w:type="dxa" w:w="90"/>
              <w:bottom w:type="dxa" w:w="60"/>
              <w:right w:type="dxa" w:w="90"/>
            </w:tcMar>
          </w:tcPr>
          <w:p>
            <w:pPr>
              <w:spacing w:after="0" w:line="252"/>
              <w:jc w:val="left"/>
            </w:pPr>
            <w:r>
              <w:rPr>
                <w:b w:val="false"/>
                <w:bCs w:val="false"/>
                <w:color w:val="1A2433"/>
                <w:sz w:val="18"/>
                <w:szCs w:val="18"/>
              </w:rPr>
              <w:t xml:space="preserve">E4 — 2⁴ sin-by-sin ablation with clean-holdout dual evaluation</w:t>
            </w:r>
          </w:p>
        </w:tc>
      </w:tr>
      <w:tr>
        <w:tc>
          <w:tcPr>
            <w:tcW w:type="dxa" w:w="4600"/>
            <w:shd w:fill="F2F5F9" w:color="auto" w:val="clear"/>
            <w:tcMar>
              <w:top w:type="dxa" w:w="60"/>
              <w:left w:type="dxa" w:w="90"/>
              <w:bottom w:type="dxa" w:w="60"/>
              <w:right w:type="dxa" w:w="90"/>
            </w:tcMar>
          </w:tcPr>
          <w:p>
            <w:pPr>
              <w:spacing w:after="0" w:line="252"/>
              <w:jc w:val="left"/>
            </w:pPr>
            <w:r>
              <w:rPr>
                <w:rFonts w:ascii="Courier New" w:cs="Courier New" w:eastAsia="Courier New" w:hAnsi="Courier New"/>
                <w:color w:val="14213D"/>
                <w:sz w:val="17"/>
                <w:szCs w:val="17"/>
              </w:rPr>
              <w:t xml:space="preserve">python -m experiments.run_bootstrap</w:t>
            </w:r>
          </w:p>
        </w:tc>
        <w:tc>
          <w:tcPr>
            <w:tcW w:type="dxa" w:w="4760"/>
            <w:shd w:fill="F2F5F9" w:color="auto" w:val="clear"/>
            <w:tcMar>
              <w:top w:type="dxa" w:w="60"/>
              <w:left w:type="dxa" w:w="90"/>
              <w:bottom w:type="dxa" w:w="60"/>
              <w:right w:type="dxa" w:w="90"/>
            </w:tcMar>
          </w:tcPr>
          <w:p>
            <w:pPr>
              <w:spacing w:after="0" w:line="252"/>
              <w:jc w:val="left"/>
            </w:pPr>
            <w:r>
              <w:rPr>
                <w:b w:val="false"/>
                <w:bCs w:val="false"/>
                <w:color w:val="1A2433"/>
                <w:sz w:val="18"/>
                <w:szCs w:val="18"/>
              </w:rPr>
              <w:t xml:space="preserve">E5 — paired-bootstrap significance (needs E1 score files)</w:t>
            </w:r>
          </w:p>
        </w:tc>
      </w:tr>
      <w:tr>
        <w:tc>
          <w:tcPr>
            <w:tcW w:type="dxa" w:w="4600"/>
            <w:shd w:fill="FFFFFF" w:color="auto" w:val="clear"/>
            <w:tcMar>
              <w:top w:type="dxa" w:w="60"/>
              <w:left w:type="dxa" w:w="90"/>
              <w:bottom w:type="dxa" w:w="60"/>
              <w:right w:type="dxa" w:w="90"/>
            </w:tcMar>
          </w:tcPr>
          <w:p>
            <w:pPr>
              <w:spacing w:after="0" w:line="252"/>
              <w:jc w:val="left"/>
            </w:pPr>
            <w:r>
              <w:rPr>
                <w:rFonts w:ascii="Courier New" w:cs="Courier New" w:eastAsia="Courier New" w:hAnsi="Courier New"/>
                <w:color w:val="14213D"/>
                <w:sz w:val="17"/>
                <w:szCs w:val="17"/>
              </w:rPr>
              <w:t xml:space="preserve">python -m experiments.run_benchmark --split temporal</w:t>
            </w:r>
          </w:p>
        </w:tc>
        <w:tc>
          <w:tcPr>
            <w:tcW w:type="dxa" w:w="4760"/>
            <w:shd w:fill="FFFFFF" w:color="auto" w:val="clear"/>
            <w:tcMar>
              <w:top w:type="dxa" w:w="60"/>
              <w:left w:type="dxa" w:w="90"/>
              <w:bottom w:type="dxa" w:w="60"/>
              <w:right w:type="dxa" w:w="90"/>
            </w:tcMar>
          </w:tcPr>
          <w:p>
            <w:pPr>
              <w:spacing w:after="0" w:line="252"/>
              <w:jc w:val="left"/>
            </w:pPr>
            <w:r>
              <w:rPr>
                <w:b w:val="false"/>
                <w:bCs w:val="false"/>
                <w:color w:val="1A2433"/>
                <w:sz w:val="18"/>
                <w:szCs w:val="18"/>
              </w:rPr>
              <w:t xml:space="preserve">E6 — out-of-time robustness</w:t>
            </w:r>
          </w:p>
        </w:tc>
      </w:tr>
      <w:tr>
        <w:tc>
          <w:tcPr>
            <w:tcW w:type="dxa" w:w="4600"/>
            <w:shd w:fill="F2F5F9" w:color="auto" w:val="clear"/>
            <w:tcMar>
              <w:top w:type="dxa" w:w="60"/>
              <w:left w:type="dxa" w:w="90"/>
              <w:bottom w:type="dxa" w:w="60"/>
              <w:right w:type="dxa" w:w="90"/>
            </w:tcMar>
          </w:tcPr>
          <w:p>
            <w:pPr>
              <w:spacing w:after="0" w:line="252"/>
              <w:jc w:val="left"/>
            </w:pPr>
            <w:r>
              <w:rPr>
                <w:rFonts w:ascii="Courier New" w:cs="Courier New" w:eastAsia="Courier New" w:hAnsi="Courier New"/>
                <w:color w:val="14213D"/>
                <w:sz w:val="17"/>
                <w:szCs w:val="17"/>
              </w:rPr>
              <w:t xml:space="preserve">python -m experiments.run_explain</w:t>
            </w:r>
          </w:p>
        </w:tc>
        <w:tc>
          <w:tcPr>
            <w:tcW w:type="dxa" w:w="4760"/>
            <w:shd w:fill="F2F5F9" w:color="auto" w:val="clear"/>
            <w:tcMar>
              <w:top w:type="dxa" w:w="60"/>
              <w:left w:type="dxa" w:w="90"/>
              <w:bottom w:type="dxa" w:w="60"/>
              <w:right w:type="dxa" w:w="90"/>
            </w:tcMar>
          </w:tcPr>
          <w:p>
            <w:pPr>
              <w:spacing w:after="0" w:line="252"/>
              <w:jc w:val="left"/>
            </w:pPr>
            <w:r>
              <w:rPr>
                <w:b w:val="false"/>
                <w:bCs w:val="false"/>
                <w:color w:val="1A2433"/>
                <w:sz w:val="18"/>
                <w:szCs w:val="18"/>
              </w:rPr>
              <w:t xml:space="preserve">E7 — SHAP, permutation importance, error economics</w:t>
            </w:r>
          </w:p>
        </w:tc>
      </w:tr>
      <w:tr>
        <w:tc>
          <w:tcPr>
            <w:tcW w:type="dxa" w:w="4600"/>
            <w:shd w:fill="FFFFFF" w:color="auto" w:val="clear"/>
            <w:tcMar>
              <w:top w:type="dxa" w:w="60"/>
              <w:left w:type="dxa" w:w="90"/>
              <w:bottom w:type="dxa" w:w="60"/>
              <w:right w:type="dxa" w:w="90"/>
            </w:tcMar>
          </w:tcPr>
          <w:p>
            <w:pPr>
              <w:spacing w:after="0" w:line="252"/>
              <w:jc w:val="left"/>
            </w:pPr>
            <w:r>
              <w:rPr>
                <w:rFonts w:ascii="Courier New" w:cs="Courier New" w:eastAsia="Courier New" w:hAnsi="Courier New"/>
                <w:color w:val="14213D"/>
                <w:sz w:val="17"/>
                <w:szCs w:val="17"/>
              </w:rPr>
              <w:t xml:space="preserve">python -m experiments.run_tuning</w:t>
            </w:r>
          </w:p>
        </w:tc>
        <w:tc>
          <w:tcPr>
            <w:tcW w:type="dxa" w:w="4760"/>
            <w:shd w:fill="FFFFFF" w:color="auto" w:val="clear"/>
            <w:tcMar>
              <w:top w:type="dxa" w:w="60"/>
              <w:left w:type="dxa" w:w="90"/>
              <w:bottom w:type="dxa" w:w="60"/>
              <w:right w:type="dxa" w:w="90"/>
            </w:tcMar>
          </w:tcPr>
          <w:p>
            <w:pPr>
              <w:spacing w:after="0" w:line="252"/>
              <w:jc w:val="left"/>
            </w:pPr>
            <w:r>
              <w:rPr>
                <w:b w:val="false"/>
                <w:bCs w:val="false"/>
                <w:color w:val="1A2433"/>
                <w:sz w:val="18"/>
                <w:szCs w:val="18"/>
              </w:rPr>
              <w:t xml:space="preserve">E8 — leakage-safe RandomizedSearchCV</w:t>
            </w:r>
          </w:p>
        </w:tc>
      </w:tr>
    </w:tbl>
    <w:p>
      <w:pPr>
        <w:spacing w:after="160"/>
        <w:jc w:val="center"/>
      </w:pPr>
      <w:r>
        <w:rPr>
          <w:i/>
          <w:iCs/>
          <w:color w:val="5A6B7F"/>
          <w:sz w:val="17"/>
          <w:szCs w:val="17"/>
        </w:rPr>
        <w:t xml:space="preserve">All commands write CSVs to results/tables/ and figures to results/figures/. Add --quick for a fast smoke test.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F"/>
        <w:sz w:val="16"/>
        <w:szCs w:val="16"/>
      </w:rPr>
      <w:t xml:space="preserve">Fraud Detection, Measured in Money</w:t>
    </w:r>
    <w:r>
      <w:rPr>
        <w:sz w:val="16"/>
        <w:szCs w:val="16"/>
      </w:rPr>
      <w:t xml:space="preserve">     </w:t>
    </w:r>
    <w:r>
      <w:rPr>
        <w:color w:val="5A6B7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4204fad4c7fdd883f62b2f3fbbacd44865274e.png"/><Relationship Id="rId9" Type="http://schemas.openxmlformats.org/officeDocument/2006/relationships/image" Target="media/7a85482228b0177784ef2b107c46b176823f2810.png"/><Relationship Id="rId10" Type="http://schemas.openxmlformats.org/officeDocument/2006/relationships/image" Target="media/e0b92225fdae5459a8c675e91aba72037083ca00.png"/><Relationship Id="rId11" Type="http://schemas.openxmlformats.org/officeDocument/2006/relationships/image" Target="media/04efd7c155a708056d4deda3f0ebdf9f0e94fae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Detection, Measured in Money — Final Report</dc:title>
  <dc:creator>EECS 3404 Project Team</dc:creator>
  <cp:lastModifiedBy>Un-named</cp:lastModifiedBy>
  <cp:revision>1</cp:revision>
  <dcterms:created xsi:type="dcterms:W3CDTF">2026-07-14T21:27:39.937Z</dcterms:created>
  <dcterms:modified xsi:type="dcterms:W3CDTF">2026-07-14T21:27:39.943Z</dcterms:modified>
</cp:coreProperties>
</file>

<file path=docProps/custom.xml><?xml version="1.0" encoding="utf-8"?>
<Properties xmlns="http://schemas.openxmlformats.org/officeDocument/2006/custom-properties" xmlns:vt="http://schemas.openxmlformats.org/officeDocument/2006/docPropsVTypes"/>
</file>