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#319</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Breakdown</w:t>
      </w:r>
    </w:p>
    <w:p>
      <w:pPr>
        <w:spacing w:after="120"/>
      </w:pPr>
      <w:r>
        <w:rPr>
          <w:b/>
          <w:color w:val="C8A951"/>
          <w:sz w:val="20"/>
        </w:rPr>
        <w:t xml:space="preserve">Hook 22 </w:t>
      </w:r>
      <w:r>
        <w:rPr>
          <w:b w:val="0"/>
          <w:color w:val="6B6B6B"/>
          <w:sz w:val="20"/>
        </w:rPr>
        <w:t xml:space="preserve">(Curiosity)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A 2:1 from Oxford gets you past the CV screen. It does nothing for the aptitude test. Here's what does.</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