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#162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11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practised with free online tests and still failed. Here's what free tests don't teach you.</w:t>
      </w:r>
    </w:p>
    <w:p/>
    <w:p>
      <w:r>
        <w:rPr>
          <w:i/>
          <w:color w:val="2C2C2C"/>
          <w:sz w:val="22"/>
        </w:rPr>
        <w:t>I knew the maths. I'd practised for weeks. And I still underperformed on test day. Here's why.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>
      <w:r>
        <w:rPr>
          <w:color w:val="2C2C2C"/>
          <w:sz w:val="22"/>
        </w:rPr>
        <w:t>The difference between practising and performing is the gap that separates candidates who score average from candidates who score in the top percentiles.</w:t>
      </w:r>
    </w:p>
    <w:p/>
    <w:p>
      <w:r>
        <w:rPr>
          <w:color w:val="2C2C2C"/>
          <w:sz w:val="22"/>
        </w:rPr>
        <w:t>Acumen Logic includes a full Pressure Protocols module — 5 lessons dedicated to time management, error recognition, stress inoculation, test-day preparation, and a complete timed drill under real conditions.</w:t>
      </w:r>
    </w:p>
    <w:p/>
    <w:p>
      <w:r>
        <w:rPr>
          <w:color w:val="2C2C2C"/>
          <w:sz w:val="22"/>
        </w:rPr>
        <w:t>We don't just prepare you for the questions. We prepare you for the experience.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