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#389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26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Every wrong answer on our practice tests traces back to a named mistake. That's how you stop making them.</w:t>
      </w:r>
    </w:p>
    <w:p/>
    <w:p>
      <w:r>
        <w:rPr>
          <w:i/>
          <w:color w:val="C8A951"/>
          <w:sz w:val="20"/>
        </w:rPr>
        <w:t>*insert video: 2-minute talking-head with simple graphics. Open with the salary figures (£65k-£95k year one). Show the bottleneck: a 25-minute test. Walk through the Candidate A vs. Candidate B comparison. End with: 'The question isn't whether you can afford to prepare. It's whether you can afford not to.' Use simple on-screen text overlays for the key numbers.*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