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#552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Story</w:t>
      </w:r>
    </w:p>
    <w:p>
      <w:pPr>
        <w:spacing w:after="120"/>
      </w:pPr>
      <w:r>
        <w:rPr>
          <w:b/>
          <w:color w:val="C8A951"/>
          <w:sz w:val="20"/>
        </w:rPr>
        <w:t xml:space="preserve">Hook 37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The people who get into Goldman, McKinsey, and Deloitte aren't guessing on aptitude tests. They've trained.</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