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'Why You Fail Aptitude Tests (It's Not the Maths)' (title)*</w:t>
      </w:r>
    </w:p>
    <w:p>
      <w:r>
        <w:rPr>
          <w:i/>
          <w:color w:val="C8A951"/>
          <w:sz w:val="20"/>
        </w:rPr>
        <w:t>*Slide 2: 'Reason 1: Time Pressure' — 60-75 seconds per question*</w:t>
      </w:r>
    </w:p>
    <w:p>
      <w:r>
        <w:rPr>
          <w:i/>
          <w:color w:val="C8A951"/>
          <w:sz w:val="20"/>
        </w:rPr>
        <w:t>*Slide 3: 'Reason 2: Engineered Trap Answers' — wrong answers match common errors*</w:t>
      </w:r>
    </w:p>
    <w:p>
      <w:r>
        <w:rPr>
          <w:i/>
          <w:color w:val="C8A951"/>
          <w:sz w:val="20"/>
        </w:rPr>
        <w:t>*Slide 4: 'Reason 3: Nobody Teaches the Format' — schools teach maths, not test performance*</w:t>
      </w:r>
    </w:p>
    <w:p>
      <w:r>
        <w:rPr>
          <w:i/>
          <w:color w:val="C8A951"/>
          <w:sz w:val="20"/>
        </w:rPr>
        <w:t>*Slide 5: 'The Solution: Train for the Conditions' + Acumen Logic CTA*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