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#35</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Text Breakdown</w:t>
      </w:r>
    </w:p>
    <w:p>
      <w:pPr>
        <w:spacing w:after="120"/>
      </w:pPr>
      <w:r>
        <w:rPr>
          <w:b/>
          <w:color w:val="C8A951"/>
          <w:sz w:val="20"/>
        </w:rPr>
        <w:t xml:space="preserve">Hook 3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2</w:t>
      </w:r>
    </w:p>
    <w:p>
      <w:r>
        <w:rPr>
          <w:color w:val="E8E4DA"/>
          <w:sz w:val="16"/>
        </w:rPr>
        <w:t>━━━━━━━━━━━━━━━━━━━━━━━━━━━━━━━━━━━━━━━━━━━━━━━━━━</w:t>
      </w:r>
    </w:p>
    <w:p>
      <w:r>
        <w:rPr>
          <w:b/>
          <w:color w:val="1B2A4A"/>
          <w:sz w:val="26"/>
        </w:rPr>
        <w:t>The maths on an aptitude test is GCSE-level. So why do most graduates still fail it?</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