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#386</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Screenshot Question</w:t>
      </w:r>
    </w:p>
    <w:p>
      <w:pPr>
        <w:spacing w:after="120"/>
      </w:pPr>
      <w:r>
        <w:rPr>
          <w:b/>
          <w:color w:val="C8A951"/>
          <w:sz w:val="20"/>
        </w:rPr>
        <w:t xml:space="preserve">Hook 26 </w:t>
      </w:r>
      <w:r>
        <w:rPr>
          <w:b w:val="0"/>
          <w:color w:val="6B6B6B"/>
          <w:sz w:val="20"/>
        </w:rPr>
        <w:t xml:space="preserve">(Authority)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Every wrong answer on our practice tests traces back to a named mistake. That's how you stop making them.</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