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#566</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Text Story</w:t>
      </w:r>
    </w:p>
    <w:p>
      <w:pPr>
        <w:spacing w:after="120"/>
      </w:pPr>
      <w:r>
        <w:rPr>
          <w:b/>
          <w:color w:val="C8A951"/>
          <w:sz w:val="20"/>
        </w:rPr>
        <w:t xml:space="preserve">Hook 38 </w:t>
      </w:r>
      <w:r>
        <w:rPr>
          <w:b w:val="0"/>
          <w:color w:val="6B6B6B"/>
          <w:sz w:val="20"/>
        </w:rPr>
        <w:t xml:space="preserve">(Aspirational)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There are two types of candidates: those who practise aptitude tests, and those who prepare for them. Only one type gets the offer.</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