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#674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b/>
          <w:color w:val="2C2C2C"/>
          <w:sz w:val="22"/>
        </w:rPr>
        <w:t>Here's a real example. Try it yourself:</w:t>
      </w:r>
    </w:p>
    <w:p/>
    <w:p>
      <w:r>
        <w:rPr>
          <w:color w:val="2C2C2C"/>
          <w:sz w:val="22"/>
        </w:rPr>
        <w:t>A company's total revenue in 2024 was £8,400k, split across 4 quarters: Q1 £1,800k, Q2 £2,100k, Q3 £2,400k, Q4 £2,100k. What percentage of annual revenue came from Q3?</w:t>
      </w:r>
    </w:p>
    <w:p/>
    <w:p>
      <w:r>
        <w:rPr>
          <w:color w:val="2C2C2C"/>
          <w:sz w:val="22"/>
        </w:rPr>
        <w:t>(A) 24.0%  (B) 28.6%  (C) 30.0%  (D) 25.0%</w:t>
      </w:r>
    </w:p>
    <w:p/>
    <w:p>
      <w:r>
        <w:rPr>
          <w:color w:val="2C2C2C"/>
          <w:sz w:val="22"/>
        </w:rPr>
        <w:t>Drop your answer below. I'll break down why each wrong answer exists — and which specific mistake produces it.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