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2A4A"/>
          <w:sz w:val="52"/>
          <w:szCs w:val="52"/>
        </w:rPr>
        <w:t xml:space="preserve">ACUMEN LOGIC</w:t>
      </w:r>
    </w:p>
    <w:p>
      <w:pPr>
        <w:spacing w:before="200" w:after="100"/>
        <w:jc w:val="center"/>
      </w:pPr>
      <w:r>
        <w:rPr>
          <w:rFonts w:ascii="Arial" w:cs="Arial" w:eastAsia="Arial" w:hAnsi="Arial"/>
          <w:color w:val="C8A951"/>
          <w:sz w:val="36"/>
          <w:szCs w:val="36"/>
        </w:rPr>
        <w:t xml:space="preserve">—</w:t>
      </w:r>
    </w:p>
    <w:p>
      <w:pPr>
        <w:jc w:val="center"/>
      </w:pPr>
      <w:r>
        <w:rPr>
          <w:rFonts w:ascii="Arial" w:cs="Arial" w:eastAsia="Arial" w:hAnsi="Arial"/>
          <w:color w:val="1B2A4A"/>
          <w:sz w:val="30"/>
          <w:szCs w:val="30"/>
        </w:rPr>
        <w:t xml:space="preserve">Finance Aptitude Test Preparation Course</w:t>
      </w:r>
    </w:p>
    <w:p>
      <w:pPr>
        <w:spacing w:before="100"/>
        <w:jc w:val="center"/>
      </w:pPr>
      <w:r>
        <w:rPr>
          <w:rFonts w:ascii="Arial" w:cs="Arial" w:eastAsia="Arial" w:hAnsi="Arial"/>
          <w:color w:val="C8A951"/>
          <w:sz w:val="24"/>
          <w:szCs w:val="24"/>
        </w:rPr>
        <w:t xml:space="preserve">Complete Course Structure &amp; Module Breakdown</w:t>
      </w:r>
    </w:p>
    <w:p>
      <w:pPr>
        <w:spacing w:before="600"/>
      </w:pPr>
    </w:p>
    <w:p>
      <w:pPr>
        <w:jc w:val="center"/>
      </w:pPr>
      <w:r>
        <w:rPr>
          <w:rFonts w:ascii="Arial" w:cs="Arial" w:eastAsia="Arial" w:hAnsi="Arial"/>
          <w:color w:val="1B2A4A"/>
          <w:sz w:val="22"/>
          <w:szCs w:val="22"/>
        </w:rPr>
        <w:t xml:space="preserve">6 Modules  ·  34 Lessons  ·  Full Curriculum</w:t>
      </w:r>
    </w:p>
    <w:p>
      <w:pPr>
        <w:spacing w:before="400"/>
        <w:jc w:val="center"/>
      </w:pPr>
      <w:r>
        <w:rPr>
          <w:rFonts w:ascii="Arial" w:cs="Arial" w:eastAsia="Arial" w:hAnsi="Arial"/>
          <w:i/>
          <w:iCs/>
          <w:color w:val="1B2A4A"/>
          <w:sz w:val="20"/>
          <w:szCs w:val="20"/>
        </w:rPr>
        <w:t xml:space="preserve">Research-Based Structure for UK Finance Screening Assessments</w:t>
      </w:r>
    </w:p>
    <w:p>
      <w:pPr>
        <w:spacing w:before="200"/>
        <w:jc w:val="center"/>
      </w:pPr>
      <w:r>
        <w:rPr>
          <w:rFonts w:ascii="Arial" w:cs="Arial" w:eastAsia="Arial" w:hAnsi="Arial"/>
          <w:color w:val="1B2A4A"/>
          <w:sz w:val="20"/>
          <w:szCs w:val="20"/>
        </w:rPr>
        <w:t xml:space="preserve">Big 4  ·  Investment Banking  ·  Consulting  ·  Financial Services</w:t>
      </w:r>
    </w:p>
    <w:p>
      <w:pPr>
        <w:spacing w:before="800"/>
        <w:jc w:val="center"/>
      </w:pPr>
      <w:r>
        <w:rPr>
          <w:rFonts w:ascii="Arial" w:cs="Arial" w:eastAsia="Arial" w:hAnsi="Arial"/>
          <w:color w:val="1B2A4A"/>
          <w:sz w:val="20"/>
          <w:szCs w:val="20"/>
        </w:rPr>
        <w:t xml:space="preserve">February 2026</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Research Summary: What UK Finance Screenings Actually Test</w:t>
      </w:r>
    </w:p>
    <w:p>
      <w:pPr>
        <w:spacing w:after="120"/>
      </w:pPr>
      <w:r>
        <w:rPr>
          <w:rFonts w:ascii="Arial" w:cs="Arial" w:eastAsia="Arial" w:hAnsi="Arial"/>
          <w:color w:val="1B2A4A"/>
          <w:sz w:val="21"/>
          <w:szCs w:val="21"/>
        </w:rPr>
        <w:t xml:space="preserve">This course structure is based on research into the actual aptitude tests used by UK employers in finance, accounting, investment banking, and consulting. The findings below informed every structural decision.</w:t>
      </w:r>
    </w:p>
    <w:p>
      <w:pPr>
        <w:spacing w:before="160" w:after="80"/>
      </w:pPr>
      <w:r>
        <w:rPr>
          <w:rFonts w:ascii="Arial" w:cs="Arial" w:eastAsia="Arial" w:hAnsi="Arial"/>
          <w:b/>
          <w:bCs/>
          <w:color w:val="1B2A4A"/>
          <w:sz w:val="21"/>
          <w:szCs w:val="21"/>
        </w:rPr>
        <w:t xml:space="preserve">The five assessment categories used across UK finance screening:</w:t>
      </w:r>
    </w:p>
    <w:p>
      <w:pPr>
        <w:spacing w:after="120"/>
      </w:pPr>
      <w:r>
        <w:rPr>
          <w:rFonts w:ascii="Arial" w:cs="Arial" w:eastAsia="Arial" w:hAnsi="Arial"/>
          <w:b/>
          <w:bCs/>
          <w:color w:val="1B2A4A"/>
          <w:sz w:val="21"/>
          <w:szCs w:val="21"/>
        </w:rPr>
        <w:t xml:space="preserve">1. Numerical Reasoning (used by virtually all firms): </w:t>
      </w:r>
      <w:r>
        <w:rPr>
          <w:rFonts w:ascii="Arial" w:cs="Arial" w:eastAsia="Arial" w:hAnsi="Arial"/>
          <w:color w:val="1B2A4A"/>
          <w:sz w:val="21"/>
          <w:szCs w:val="21"/>
        </w:rPr>
        <w:t xml:space="preserve">Data interpretation from tables, charts, and graphs. Percentage calculations, percentage change, ratios, proportions, currency conversions, profit/loss. Firms include EY, Deloitte, KPMG, Barclays, HSBC, JP Morgan, Rothschild, Macquarie, Jefferies, Citi, UBS. Providers: SHL, Aon (Cut-e), Korn Ferry (Talent-Q), Cappfinity.</w:t>
      </w:r>
    </w:p>
    <w:p>
      <w:pPr>
        <w:spacing w:after="120"/>
      </w:pPr>
      <w:r>
        <w:rPr>
          <w:rFonts w:ascii="Arial" w:cs="Arial" w:eastAsia="Arial" w:hAnsi="Arial"/>
          <w:b/>
          <w:bCs/>
          <w:color w:val="1B2A4A"/>
          <w:sz w:val="21"/>
          <w:szCs w:val="21"/>
        </w:rPr>
        <w:t xml:space="preserve">2. Verbal Reasoning (used by most firms): </w:t>
      </w:r>
      <w:r>
        <w:rPr>
          <w:rFonts w:ascii="Arial" w:cs="Arial" w:eastAsia="Arial" w:hAnsi="Arial"/>
          <w:color w:val="1B2A4A"/>
          <w:sz w:val="21"/>
          <w:szCs w:val="21"/>
        </w:rPr>
        <w:t xml:space="preserve">True/False/Cannot Say format dominates. Reading comprehension of business and finance passages. Logical deduction from written information. Used by BNP Paribas, Santander, Moelis, Jefferies, Deutsche Bank, and the Big 4.</w:t>
      </w:r>
    </w:p>
    <w:p>
      <w:pPr>
        <w:spacing w:after="120"/>
      </w:pPr>
      <w:r>
        <w:rPr>
          <w:rFonts w:ascii="Arial" w:cs="Arial" w:eastAsia="Arial" w:hAnsi="Arial"/>
          <w:b/>
          <w:bCs/>
          <w:color w:val="1B2A4A"/>
          <w:sz w:val="21"/>
          <w:szCs w:val="21"/>
        </w:rPr>
        <w:t xml:space="preserve">3. Logical/Abstract Reasoning (used by many firms): </w:t>
      </w:r>
      <w:r>
        <w:rPr>
          <w:rFonts w:ascii="Arial" w:cs="Arial" w:eastAsia="Arial" w:hAnsi="Arial"/>
          <w:color w:val="1B2A4A"/>
          <w:sz w:val="21"/>
          <w:szCs w:val="21"/>
        </w:rPr>
        <w:t xml:space="preserve">Pattern recognition in shapes and sequences (inductive reasoning). Rule-based deductive reasoning. Number series. Used by Citi, Macquarie, Barclays, HSBC, UBS, Houlihan Lokey, PJT Partners. Includes both abstract/diagrammatic and numerical pattern formats.</w:t>
      </w:r>
    </w:p>
    <w:p>
      <w:pPr>
        <w:spacing w:after="120"/>
      </w:pPr>
      <w:r>
        <w:rPr>
          <w:rFonts w:ascii="Arial" w:cs="Arial" w:eastAsia="Arial" w:hAnsi="Arial"/>
          <w:b/>
          <w:bCs/>
          <w:color w:val="1B2A4A"/>
          <w:sz w:val="21"/>
          <w:szCs w:val="21"/>
        </w:rPr>
        <w:t xml:space="preserve">4. Situational Judgement Tests (increasingly common): </w:t>
      </w:r>
      <w:r>
        <w:rPr>
          <w:rFonts w:ascii="Arial" w:cs="Arial" w:eastAsia="Arial" w:hAnsi="Arial"/>
          <w:color w:val="1B2A4A"/>
          <w:sz w:val="21"/>
          <w:szCs w:val="21"/>
        </w:rPr>
        <w:t xml:space="preserve">Workplace scenario assessments measuring communication, teamwork, decision-making, resilience, and commercial awareness. Used by HSBC, Deutsche Bank, Rothschild, Schroders, Standard Chartered, and heavily by the Big 4 (EY, Deloitte, KPMG). Often firm-specific and values-aligned.</w:t>
      </w:r>
    </w:p>
    <w:p>
      <w:pPr>
        <w:spacing w:after="120"/>
      </w:pPr>
      <w:r>
        <w:rPr>
          <w:rFonts w:ascii="Arial" w:cs="Arial" w:eastAsia="Arial" w:hAnsi="Arial"/>
          <w:b/>
          <w:bCs/>
          <w:color w:val="1B2A4A"/>
          <w:sz w:val="21"/>
          <w:szCs w:val="21"/>
        </w:rPr>
        <w:t xml:space="preserve">5. Personality &amp; Behavioural Assessments (growing rapidly): </w:t>
      </w:r>
      <w:r>
        <w:rPr>
          <w:rFonts w:ascii="Arial" w:cs="Arial" w:eastAsia="Arial" w:hAnsi="Arial"/>
          <w:color w:val="1B2A4A"/>
          <w:sz w:val="21"/>
          <w:szCs w:val="21"/>
        </w:rPr>
        <w:t xml:space="preserve">Personality questionnaires measuring motivation, work style, and cultural fit. Gamified assessments (PwC uses Arctic Shores, Blackstone uses Pymetrics, Barclays uses SHL Mindset). These cannot be “passed” through study but can be understood and navigated strategically.</w:t>
      </w:r>
    </w:p>
    <w:p>
      <w:pPr>
        <w:spacing w:before="200"/>
      </w:pPr>
      <w:r>
        <w:rPr>
          <w:rFonts w:ascii="Arial" w:cs="Arial" w:eastAsia="Arial" w:hAnsi="Arial"/>
          <w:b/>
          <w:bCs/>
          <w:color w:val="1B2A4A"/>
          <w:sz w:val="21"/>
          <w:szCs w:val="21"/>
        </w:rPr>
        <w:t xml:space="preserve">Key structural insight: </w:t>
      </w:r>
      <w:r>
        <w:rPr>
          <w:rFonts w:ascii="Arial" w:cs="Arial" w:eastAsia="Arial" w:hAnsi="Arial"/>
          <w:color w:val="1B2A4A"/>
          <w:sz w:val="21"/>
          <w:szCs w:val="21"/>
        </w:rPr>
        <w:t xml:space="preserve">Numerical reasoning is the highest-stakes, most trainable skill. Verbal reasoning is the second most common. Logical reasoning appears frequently but in varied formats. SJTs and personality tests are widespread but less amenable to traditional teaching — they require understanding and strategy rather than drill practice. This informed the weighting of the course.</w:t>
      </w:r>
    </w:p>
    <w:p>
      <w:r>
        <w:r>
          <w:br w:type="page"/>
        </w:r>
      </w:r>
    </w:p>
    <w:p>
      <w:pPr>
        <w:pStyle w:val="Heading1"/>
        <w:spacing w:before="360" w:after="200"/>
      </w:pPr>
      <w:r>
        <w:rPr>
          <w:rFonts w:ascii="Arial" w:cs="Arial" w:eastAsia="Arial" w:hAnsi="Arial"/>
          <w:b/>
          <w:bCs/>
          <w:color w:val="1B2A4A"/>
          <w:sz w:val="32"/>
          <w:szCs w:val="32"/>
        </w:rPr>
        <w:t xml:space="preserve">Recommended Course Structure: 6 Modules, 34 Lessons</w:t>
      </w:r>
    </w:p>
    <w:p>
      <w:pPr>
        <w:spacing w:after="120"/>
      </w:pPr>
      <w:r>
        <w:rPr>
          <w:rFonts w:ascii="Arial" w:cs="Arial" w:eastAsia="Arial" w:hAnsi="Arial"/>
          <w:color w:val="1B2A4A"/>
          <w:sz w:val="21"/>
          <w:szCs w:val="21"/>
        </w:rPr>
        <w:t xml:space="preserve">The structure below differs from your initial proposal in two important ways. First, I have separated numerical reasoning into two modules (2 and 3) rather than one, because numerical reasoning is the dominant test type and benefits from progressive difficulty — fundamentals first, then applied data interpretation. Second, I have replaced the standalone personality assessment module with a combined Situational Judgement &amp; Behavioural Assessment module. Pure personality tests cannot meaningfully be “taught”, but understanding the frameworks, knowing what employers measure, and practising SJT scenarios is genuinely trainable and high-value.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r>
              <w:rPr>
                <w:rFonts w:ascii="Arial" w:cs="Arial" w:eastAsia="Arial" w:hAnsi="Arial"/>
                <w:b/>
                <w:bCs/>
                <w:color w:val="1B2A4A"/>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Introduction &amp; Foundations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Course orientation, test landscape, essential maths refresh</w:t>
            </w:r>
          </w:p>
        </w:tc>
      </w:tr>
      <w:tr>
        <w:tc>
          <w:tcPr>
            <w:tcW w:type="dxa" w:w="1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r>
              <w:rPr>
                <w:rFonts w:ascii="Arial" w:cs="Arial" w:eastAsia="Arial" w:hAnsi="Arial"/>
                <w:b/>
                <w:bCs/>
                <w:color w:val="1B2A4A"/>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Numerical Reasoning: Core Skills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Percentages, ratios, fractions, decimals, conversions, mental arithmetic</w:t>
            </w:r>
          </w:p>
        </w:tc>
      </w:tr>
      <w:tr>
        <w:tc>
          <w:tcPr>
            <w:tcW w:type="dxa" w:w="1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r>
              <w:rPr>
                <w:rFonts w:ascii="Arial" w:cs="Arial" w:eastAsia="Arial" w:hAnsi="Arial"/>
                <w:b/>
                <w:bCs/>
                <w:color w:val="1B2A4A"/>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Data Interpretation &amp; Applied Numeracy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Tables, charts, graphs, multi-step calculations, financial data</w:t>
            </w:r>
          </w:p>
        </w:tc>
      </w:tr>
      <w:tr>
        <w:tc>
          <w:tcPr>
            <w:tcW w:type="dxa" w:w="1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r>
              <w:rPr>
                <w:rFonts w:ascii="Arial" w:cs="Arial" w:eastAsia="Arial" w:hAnsi="Arial"/>
                <w:b/>
                <w:bCs/>
                <w:color w:val="1B2A4A"/>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Verbal &amp; Logical Reasoning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True/False/Cannot Say, reading comprehension, pattern recognition, sequences</w:t>
            </w:r>
          </w:p>
        </w:tc>
      </w:tr>
      <w:tr>
        <w:tc>
          <w:tcPr>
            <w:tcW w:type="dxa" w:w="1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r>
              <w:rPr>
                <w:rFonts w:ascii="Arial" w:cs="Arial" w:eastAsia="Arial" w:hAnsi="Arial"/>
                <w:b/>
                <w:bCs/>
                <w:color w:val="1B2A4A"/>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Situational Judgement &amp; Behavioural Assessment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SJTs, personality frameworks, values alignment, gamified tests</w:t>
            </w:r>
          </w:p>
        </w:tc>
      </w:tr>
      <w:tr>
        <w:tc>
          <w:tcPr>
            <w:tcW w:type="dxa" w:w="1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r>
              <w:rPr>
                <w:rFonts w:ascii="Arial" w:cs="Arial" w:eastAsia="Arial" w:hAnsi="Arial"/>
                <w:b/>
                <w:bCs/>
                <w:color w:val="1B2A4A"/>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Exam Strategy, Mock Tests &amp; Final Preparation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2A4A"/>
                <w:sz w:val="20"/>
                <w:szCs w:val="20"/>
              </w:rPr>
              <w:t xml:space="preserve">Timed mocks, time management, test-day strategy, provider-specific tips</w:t>
            </w:r>
          </w:p>
        </w:tc>
      </w:tr>
    </w:tbl>
    <w:p>
      <w:r>
        <w:r>
          <w:br w:type="page"/>
        </w:r>
      </w:r>
    </w:p>
    <w:p>
      <w:pPr>
        <w:pStyle w:val="Heading1"/>
        <w:spacing w:before="360" w:after="200"/>
      </w:pPr>
      <w:r>
        <w:rPr>
          <w:rFonts w:ascii="Arial" w:cs="Arial" w:eastAsia="Arial" w:hAnsi="Arial"/>
          <w:b/>
          <w:bCs/>
          <w:color w:val="1B2A4A"/>
          <w:sz w:val="32"/>
          <w:szCs w:val="32"/>
        </w:rPr>
        <w:t xml:space="preserve">Module 1: Introduction &amp;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2"/>
              <w:left w:val="single" w:color="C8A951" w:sz="6"/>
              <w:bottom w:val="single" w:color="C8A951" w:sz="2"/>
              <w:right w:val="single" w:color="C8A951" w:sz="2"/>
            </w:tcBorders>
            <w:shd w:fill="F5F0E6" w:val="clear"/>
            <w:tcMar>
              <w:top w:type="dxa" w:w="100"/>
              <w:left w:type="dxa" w:w="200"/>
              <w:bottom w:type="dxa" w:w="100"/>
              <w:right w:type="dxa" w:w="200"/>
            </w:tcMar>
          </w:tcPr>
          <w:p>
            <w:pPr>
              <w:spacing w:after="0"/>
            </w:pPr>
            <w:r>
              <w:rPr>
                <w:rFonts w:ascii="Arial" w:cs="Arial" w:eastAsia="Arial" w:hAnsi="Arial"/>
                <w:b/>
                <w:bCs/>
                <w:color w:val="1B2A4A"/>
                <w:sz w:val="20"/>
                <w:szCs w:val="20"/>
              </w:rPr>
              <w:t xml:space="preserve">Why this module matters: </w:t>
            </w:r>
            <w:r>
              <w:rPr>
                <w:rFonts w:ascii="Arial" w:cs="Arial" w:eastAsia="Arial" w:hAnsi="Arial"/>
                <w:i/>
                <w:iCs/>
                <w:color w:val="1B2A4A"/>
                <w:sz w:val="20"/>
                <w:szCs w:val="20"/>
              </w:rPr>
              <w:t xml:space="preserve">Most candidates don’t know which test they’ll face, who makes it, or how it’s scored. This module eliminates that uncertainty and builds the foundational numeracy that underpins everything in Modules 2–3. Candidates who understand the landscape before they start practising make faster progress.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Lesson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Welcome &amp; Course Overview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How the course is structured, how to use it effectively, recommended study schedules for different timelines (2 weeks vs 4–6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The UK Finance Test Landscape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Which firms use which tests (SHL, Aon, Korn Ferry, Cappfinity, Arctic Shores). What to expect at each stage. How to research your specific employer’s process.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How Aptitude Tests Are Scored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Norm-referenced scoring, percentile rankings, negative marking (where applicable), how firms set pass thresholds. Why speed and accuracy both matter.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Essential Maths Refresh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BIDMAS/BODMAS, basic arithmetic speed drills, working with negative numbers, order of magnitude, estimation and rounding techniques.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Diagnostic Assessment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A baseline test covering numerical, verbal, and logical questions to identify your starting strengths and weaknesses. Results guide your study priorities.</w:t>
            </w:r>
          </w:p>
        </w:tc>
      </w:tr>
    </w:tbl>
    <w:p>
      <w:r>
        <w:r>
          <w:br w:type="page"/>
        </w:r>
      </w:r>
    </w:p>
    <w:p>
      <w:pPr>
        <w:pStyle w:val="Heading1"/>
        <w:spacing w:before="360" w:after="200"/>
      </w:pPr>
      <w:r>
        <w:rPr>
          <w:rFonts w:ascii="Arial" w:cs="Arial" w:eastAsia="Arial" w:hAnsi="Arial"/>
          <w:b/>
          <w:bCs/>
          <w:color w:val="1B2A4A"/>
          <w:sz w:val="32"/>
          <w:szCs w:val="32"/>
        </w:rPr>
        <w:t xml:space="preserve">Module 2: Numerical Reasoning — Core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2"/>
              <w:left w:val="single" w:color="C8A951" w:sz="6"/>
              <w:bottom w:val="single" w:color="C8A951" w:sz="2"/>
              <w:right w:val="single" w:color="C8A951" w:sz="2"/>
            </w:tcBorders>
            <w:shd w:fill="F5F0E6" w:val="clear"/>
            <w:tcMar>
              <w:top w:type="dxa" w:w="100"/>
              <w:left w:type="dxa" w:w="200"/>
              <w:bottom w:type="dxa" w:w="100"/>
              <w:right w:type="dxa" w:w="200"/>
            </w:tcMar>
          </w:tcPr>
          <w:p>
            <w:pPr>
              <w:spacing w:after="0"/>
            </w:pPr>
            <w:r>
              <w:rPr>
                <w:rFonts w:ascii="Arial" w:cs="Arial" w:eastAsia="Arial" w:hAnsi="Arial"/>
                <w:b/>
                <w:bCs/>
                <w:color w:val="1B2A4A"/>
                <w:sz w:val="20"/>
                <w:szCs w:val="20"/>
              </w:rPr>
              <w:t xml:space="preserve">Why this module matters: </w:t>
            </w:r>
            <w:r>
              <w:rPr>
                <w:rFonts w:ascii="Arial" w:cs="Arial" w:eastAsia="Arial" w:hAnsi="Arial"/>
                <w:i/>
                <w:iCs/>
                <w:color w:val="1B2A4A"/>
                <w:sz w:val="20"/>
                <w:szCs w:val="20"/>
              </w:rPr>
              <w:t xml:space="preserve">Numerical reasoning is tested by virtually every UK finance employer. SHL, Aon, and Korn Ferry tests all require fluency in percentages, ratios, and proportions. This module builds those fundamentals through example-led teaching before applying them under time pressure. These are the building blocks for the data interpretation in Module 3.</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Lesson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Percentages Mastery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Calculating percentages of amounts, percentage increase/decrease, reverse percentages (finding original values), successive percentage changes. Finance context: profit margins, tax calculations, discount pricing.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Ratios &amp; Proportions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Simplifying ratios, dividing quantities in a given ratio, scaling, direct and inverse proportion. Finance context: debt-to-equity, price-to-earnings, staffing ratios.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Fractions &amp; Decimals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Converting between fractions, decimals, and percentages. Operations with fractions. Recurring decimals. Ordering and comparing values across formats.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Currency &amp; Unit Conversions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Foreign exchange calculations, buy/sell rates and spreads, unit conversions (metric/imperial, time zones). Multi-step conversion chains.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Speed Arithmetic &amp; Estimation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Mental calculation techniques, useful shortcuts (multiplying by 25, 5%, 17.5%), estimation for sanity-checking answers, when to use a calculator vs mental maths.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Core Skills Practice 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Timed practice test covering all Lessons 2.1–2.5 in exam-style format. Detailed worked solutions provided.</w:t>
            </w:r>
          </w:p>
        </w:tc>
      </w:tr>
    </w:tbl>
    <w:p>
      <w:r>
        <w:r>
          <w:br w:type="page"/>
        </w:r>
      </w:r>
    </w:p>
    <w:p>
      <w:pPr>
        <w:pStyle w:val="Heading1"/>
        <w:spacing w:before="360" w:after="200"/>
      </w:pPr>
      <w:r>
        <w:rPr>
          <w:rFonts w:ascii="Arial" w:cs="Arial" w:eastAsia="Arial" w:hAnsi="Arial"/>
          <w:b/>
          <w:bCs/>
          <w:color w:val="1B2A4A"/>
          <w:sz w:val="32"/>
          <w:szCs w:val="32"/>
        </w:rPr>
        <w:t xml:space="preserve">Module 3: Data Interpretation &amp; Applied Numeracy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2"/>
              <w:left w:val="single" w:color="C8A951" w:sz="6"/>
              <w:bottom w:val="single" w:color="C8A951" w:sz="2"/>
              <w:right w:val="single" w:color="C8A951" w:sz="2"/>
            </w:tcBorders>
            <w:shd w:fill="F5F0E6" w:val="clear"/>
            <w:tcMar>
              <w:top w:type="dxa" w:w="100"/>
              <w:left w:type="dxa" w:w="200"/>
              <w:bottom w:type="dxa" w:w="100"/>
              <w:right w:type="dxa" w:w="200"/>
            </w:tcMar>
          </w:tcPr>
          <w:p>
            <w:pPr>
              <w:spacing w:after="0"/>
            </w:pPr>
            <w:r>
              <w:rPr>
                <w:rFonts w:ascii="Arial" w:cs="Arial" w:eastAsia="Arial" w:hAnsi="Arial"/>
                <w:b/>
                <w:bCs/>
                <w:color w:val="1B2A4A"/>
                <w:sz w:val="20"/>
                <w:szCs w:val="20"/>
              </w:rPr>
              <w:t xml:space="preserve">Why this module matters: </w:t>
            </w:r>
            <w:r>
              <w:rPr>
                <w:rFonts w:ascii="Arial" w:cs="Arial" w:eastAsia="Arial" w:hAnsi="Arial"/>
                <w:i/>
                <w:iCs/>
                <w:color w:val="1B2A4A"/>
                <w:sz w:val="20"/>
                <w:szCs w:val="20"/>
              </w:rPr>
              <w:t xml:space="preserve">This is where most marks are won and lost. Real aptitude tests don’t ask “what is 15% of 300?” in isolation — they present financial data in tables and charts and ask you to extract, combine, and calculate under time pressure. SHL Interactive tests require candidates to manipulate graphs directly. This module trains exactly that skill.</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Lesson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3.1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Reading Tables &amp; Extracting Data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Navigating complex data tables, identifying relevant rows/columns, handling multi-variable tables. Avoiding common traps (misreading headers, confusing cumulative vs individual values).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3.2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Bar Charts, Line Graphs &amp; Pie Charts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Interpreting each chart type, reading values from axes, comparing data points across series. Calculating values from pie chart segments.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3.3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Multi-Source Data Integration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Questions requiring data from two or more tables/charts combined. Cross-referencing datasets to answer compound questions — the hallmark of harder SHL and Aon questions.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3.4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Percentage Change &amp; Growth Analysis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Year-on-year growth rates, compound growth, comparing growth across categories. Identifying trends from financial data. Avoiding the common trap of comparing percentages across different bases.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3.5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Profit, Loss &amp; Financial Statements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Revenue, cost, profit, margin calculations in context. Reading simplified P&amp;L data, balance sheet extracts, and sales reports as they appear in real test questions.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3.6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Weighted Averages &amp; Index Numbers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Calculating weighted averages (e.g., portfolio returns), understanding and using index numbers, base-year comparisons. Common in more advanced numerical tests.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3.7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Data Interpretation Practice 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Full-length timed mock replicating SHL/Aon numerical test format. Multiple data sources, realistic difficulty. Detailed solutions with time-saving approaches.</w:t>
            </w:r>
          </w:p>
        </w:tc>
      </w:tr>
    </w:tbl>
    <w:p>
      <w:r>
        <w:r>
          <w:br w:type="page"/>
        </w:r>
      </w:r>
    </w:p>
    <w:p>
      <w:pPr>
        <w:pStyle w:val="Heading1"/>
        <w:spacing w:before="360" w:after="200"/>
      </w:pPr>
      <w:r>
        <w:rPr>
          <w:rFonts w:ascii="Arial" w:cs="Arial" w:eastAsia="Arial" w:hAnsi="Arial"/>
          <w:b/>
          <w:bCs/>
          <w:color w:val="1B2A4A"/>
          <w:sz w:val="32"/>
          <w:szCs w:val="32"/>
        </w:rPr>
        <w:t xml:space="preserve">Module 4: Verbal &amp; Logical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2"/>
              <w:left w:val="single" w:color="C8A951" w:sz="6"/>
              <w:bottom w:val="single" w:color="C8A951" w:sz="2"/>
              <w:right w:val="single" w:color="C8A951" w:sz="2"/>
            </w:tcBorders>
            <w:shd w:fill="F5F0E6" w:val="clear"/>
            <w:tcMar>
              <w:top w:type="dxa" w:w="100"/>
              <w:left w:type="dxa" w:w="200"/>
              <w:bottom w:type="dxa" w:w="100"/>
              <w:right w:type="dxa" w:w="200"/>
            </w:tcMar>
          </w:tcPr>
          <w:p>
            <w:pPr>
              <w:spacing w:after="0"/>
            </w:pPr>
            <w:r>
              <w:rPr>
                <w:rFonts w:ascii="Arial" w:cs="Arial" w:eastAsia="Arial" w:hAnsi="Arial"/>
                <w:b/>
                <w:bCs/>
                <w:color w:val="1B2A4A"/>
                <w:sz w:val="20"/>
                <w:szCs w:val="20"/>
              </w:rPr>
              <w:t xml:space="preserve">Why this module matters: </w:t>
            </w:r>
            <w:r>
              <w:rPr>
                <w:rFonts w:ascii="Arial" w:cs="Arial" w:eastAsia="Arial" w:hAnsi="Arial"/>
                <w:i/>
                <w:iCs/>
                <w:color w:val="1B2A4A"/>
                <w:sz w:val="20"/>
                <w:szCs w:val="20"/>
              </w:rPr>
              <w:t xml:space="preserve">Verbal reasoning (especially True/False/Cannot Say) is the second most common test type in UK finance recruitment, used by SHL, Aon, Korn Ferry, and others. Logical reasoning appears in varied formats across Barclays, HSBC, Citi, Macquarie, and UBS. Combining both in one module is efficient because they share the same underlying skill: disciplined inference from given information.</w:t>
            </w:r>
          </w:p>
        </w:tc>
      </w:tr>
    </w:tbl>
    <w:p>
      <w:pPr>
        <w:spacing w:before="200"/>
      </w:pPr>
    </w:p>
    <w:p>
      <w:pPr>
        <w:spacing w:before="200" w:after="100"/>
      </w:pPr>
      <w:r>
        <w:rPr>
          <w:rFonts w:ascii="Arial" w:cs="Arial" w:eastAsia="Arial" w:hAnsi="Arial"/>
          <w:b/>
          <w:bCs/>
          <w:color w:val="C8A951"/>
          <w:sz w:val="22"/>
          <w:szCs w:val="22"/>
        </w:rPr>
        <w:t xml:space="preserve">Verbal Reasoning (Lessons 4.1–4.4)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Lesson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4.1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True / False / Cannot Say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dominant format in UK finance verbal tests. How to distinguish “true” from “probably true”, how to handle “cannot say” correctly, and why external knowledge is your enemy. Worked examples with business/finance passages.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4.2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Reading Comprehension Under Pressure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Techniques for quickly extracting key information from dense passages. Scanning vs close reading. Handling financial terminology, regulatory language, and economic commentary in test passages.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4.3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Critical Reasoning &amp; Inference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Identifying assumptions, evaluating arguments, drawing valid conclusions. Relevant to Watson-Glaser style tests and the more advanced verbal assessments used by law-adjacent finance roles.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4.4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Verbal Reasoning Practice 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Timed practice in True/False/Cannot Say and comprehension formats. Finance-themed passages. Detailed explanations for every answer.</w:t>
            </w:r>
          </w:p>
        </w:tc>
      </w:tr>
    </w:tbl>
    <w:p>
      <w:pPr>
        <w:spacing w:before="200"/>
      </w:pPr>
    </w:p>
    <w:p>
      <w:pPr>
        <w:spacing w:before="200" w:after="100"/>
      </w:pPr>
      <w:r>
        <w:rPr>
          <w:rFonts w:ascii="Arial" w:cs="Arial" w:eastAsia="Arial" w:hAnsi="Arial"/>
          <w:b/>
          <w:bCs/>
          <w:color w:val="C8A951"/>
          <w:sz w:val="22"/>
          <w:szCs w:val="22"/>
        </w:rPr>
        <w:t xml:space="preserve">Logical Reasoning (Lessons 4.5–4.8)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Lesson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4.5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Abstract &amp; Inductive Reasoning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Identifying visual patterns in shapes, sequences, and matrices. Rule identification. The format used by SHL Inductive, Aon, and Cappfinity assessments (HSBC, UBS, Barclays).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4.6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Deductive Reasoning &amp; Syllogisms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If–then logic, drawing conclusions from rules and premises. The format used in Barclays SHL Deductive and Korn Ferry Logical reasoning tests (Citi, Macquarie).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4.7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Number Series &amp; Sequences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Identifying arithmetic, geometric, and more complex numerical patterns. Common in Suited Assessment tests (Houlihan Lokey, PJT Partners) and some banking numerical sections.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4.8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Logical Reasoning Practice 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Mixed-format timed test covering abstract, deductive, and numerical pattern questions. Worked solutions with pattern-identification strategies.</w:t>
            </w:r>
          </w:p>
        </w:tc>
      </w:tr>
    </w:tbl>
    <w:p>
      <w:r>
        <w:r>
          <w:br w:type="page"/>
        </w:r>
      </w:r>
    </w:p>
    <w:p>
      <w:pPr>
        <w:pStyle w:val="Heading1"/>
        <w:spacing w:before="360" w:after="200"/>
      </w:pPr>
      <w:r>
        <w:rPr>
          <w:rFonts w:ascii="Arial" w:cs="Arial" w:eastAsia="Arial" w:hAnsi="Arial"/>
          <w:b/>
          <w:bCs/>
          <w:color w:val="1B2A4A"/>
          <w:sz w:val="32"/>
          <w:szCs w:val="32"/>
        </w:rPr>
        <w:t xml:space="preserve">Module 5: Situational Judgement &amp; Behavioural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2"/>
              <w:left w:val="single" w:color="C8A951" w:sz="6"/>
              <w:bottom w:val="single" w:color="C8A951" w:sz="2"/>
              <w:right w:val="single" w:color="C8A951" w:sz="2"/>
            </w:tcBorders>
            <w:shd w:fill="F5F0E6" w:val="clear"/>
            <w:tcMar>
              <w:top w:type="dxa" w:w="100"/>
              <w:left w:type="dxa" w:w="200"/>
              <w:bottom w:type="dxa" w:w="100"/>
              <w:right w:type="dxa" w:w="200"/>
            </w:tcMar>
          </w:tcPr>
          <w:p>
            <w:pPr>
              <w:spacing w:after="0"/>
            </w:pPr>
            <w:r>
              <w:rPr>
                <w:rFonts w:ascii="Arial" w:cs="Arial" w:eastAsia="Arial" w:hAnsi="Arial"/>
                <w:b/>
                <w:bCs/>
                <w:color w:val="1B2A4A"/>
                <w:sz w:val="20"/>
                <w:szCs w:val="20"/>
              </w:rPr>
              <w:t xml:space="preserve">Why this module matters: </w:t>
            </w:r>
            <w:r>
              <w:rPr>
                <w:rFonts w:ascii="Arial" w:cs="Arial" w:eastAsia="Arial" w:hAnsi="Arial"/>
                <w:i/>
                <w:iCs/>
                <w:color w:val="1B2A4A"/>
                <w:sz w:val="20"/>
                <w:szCs w:val="20"/>
              </w:rPr>
              <w:t xml:space="preserve">Over 50% of Big 4 assessments now include SJT-style questions (KPMG, Deloitte, EY). Major banks including HSBC, Deutsche Bank, Rothschild, and Schroders all use SJTs or personality assessments. PwC and Blackstone have moved to entirely gamified formats. Students cannot afford to ignore this — but they need strategy, not memorisation.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Lesson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5.1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How SJTs Work &amp; What They Measure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Format types (best/worst, ranking, most/least effective). The competencies being assessed: communication, teamwork, decision-making, resilience, commercial awareness. How responses are scored against an ideal profile.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5.2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Finance Sector Values &amp; Competencies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What the Big 4, investment banks, and consulting firms specifically value. Mapping company values to SJT answer strategies. How to research any firm’s expectations before your 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5.3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SJT Question Strategy &amp; Practice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Worked examples of common scenario types: client conflicts, team disagreements, ethical dilemmas, deadline pressures, managing upwards. How to eliminate clearly wrong options and choose between plausible ones.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5.4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Personality Tests &amp; Gamified Assessments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Understanding what personality questionnaires measure (Big Five traits, motivation, work style). How gamified platforms like Arctic Shores (PwC) and Pymetrics (Blackstone, Barclays) work. What you can and cannot prepare for. Honest self-presentation vs strategic awareness.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5.5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SJT Practice Scenarios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Set of realistic practice scenarios tailored to finance sector roles. Multiple response formats. Explanations of optimal answers tied back to competency frameworks.</w:t>
            </w:r>
          </w:p>
        </w:tc>
      </w:tr>
    </w:tbl>
    <w:p>
      <w:r>
        <w:r>
          <w:br w:type="page"/>
        </w:r>
      </w:r>
    </w:p>
    <w:p>
      <w:pPr>
        <w:pStyle w:val="Heading1"/>
        <w:spacing w:before="360" w:after="200"/>
      </w:pPr>
      <w:r>
        <w:rPr>
          <w:rFonts w:ascii="Arial" w:cs="Arial" w:eastAsia="Arial" w:hAnsi="Arial"/>
          <w:b/>
          <w:bCs/>
          <w:color w:val="1B2A4A"/>
          <w:sz w:val="32"/>
          <w:szCs w:val="32"/>
        </w:rPr>
        <w:t xml:space="preserve">Module 6: Exam Strategy, Mock Tests &amp; Final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2"/>
              <w:left w:val="single" w:color="C8A951" w:sz="6"/>
              <w:bottom w:val="single" w:color="C8A951" w:sz="2"/>
              <w:right w:val="single" w:color="C8A951" w:sz="2"/>
            </w:tcBorders>
            <w:shd w:fill="F5F0E6" w:val="clear"/>
            <w:tcMar>
              <w:top w:type="dxa" w:w="100"/>
              <w:left w:type="dxa" w:w="200"/>
              <w:bottom w:type="dxa" w:w="100"/>
              <w:right w:type="dxa" w:w="200"/>
            </w:tcMar>
          </w:tcPr>
          <w:p>
            <w:pPr>
              <w:spacing w:after="0"/>
            </w:pPr>
            <w:r>
              <w:rPr>
                <w:rFonts w:ascii="Arial" w:cs="Arial" w:eastAsia="Arial" w:hAnsi="Arial"/>
                <w:b/>
                <w:bCs/>
                <w:color w:val="1B2A4A"/>
                <w:sz w:val="20"/>
                <w:szCs w:val="20"/>
              </w:rPr>
              <w:t xml:space="preserve">Why this module matters: </w:t>
            </w:r>
            <w:r>
              <w:rPr>
                <w:rFonts w:ascii="Arial" w:cs="Arial" w:eastAsia="Arial" w:hAnsi="Arial"/>
                <w:i/>
                <w:iCs/>
                <w:color w:val="1B2A4A"/>
                <w:sz w:val="20"/>
                <w:szCs w:val="20"/>
              </w:rPr>
              <w:t xml:space="preserve">Knowing the content is not the same as performing under exam conditions. This module bridges that gap with full-length timed mocks, provider-specific guidance, and test-day strategy. Most candidates who fail aptitude tests do so because of time management, not lack of knowledge.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Lesson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6.1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Time Management &amp; Test Strategy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How to allocate time per question for different test lengths. When to skip and return. Educated guessing (negative marking vs no penalty). Managing test anxiety and maintaining focus.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6.2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Provider-Specific Tips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Tailored guidance for SHL (Verify Interactive and standard), Aon (Cut-e Scales), Korn Ferry (Talent-Q Aspects), Cappfinity, and Arctic Shores. Key differences in format, timing, and interface.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6.3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Full Mock Assessment 1: Numerical Focus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Complete timed mock test weighted towards numerical reasoning and data interpretation, reflecting the most common screening format. Detailed solutions and performance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6.4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Full Mock Assessment 2: Mixed Format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Combined numerical, verbal, and logical reasoning mock replicating a full cognitive ability assessment. Scored with percentile-style benchmarking.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6.5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Test Day Checklist &amp; Final Tips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Technical setup (browser, calculator, environment), what to do if something goes wrong, how to handle verification/re-sit tests, and next steps after the aptitude stage (assessment centres, interviews).</w:t>
            </w:r>
          </w:p>
        </w:tc>
      </w:tr>
    </w:tbl>
    <w:p>
      <w:r>
        <w:r>
          <w:br w:type="page"/>
        </w:r>
      </w:r>
    </w:p>
    <w:p>
      <w:pPr>
        <w:pStyle w:val="Heading1"/>
        <w:spacing w:before="360" w:after="200"/>
      </w:pPr>
      <w:r>
        <w:rPr>
          <w:rFonts w:ascii="Arial" w:cs="Arial" w:eastAsia="Arial" w:hAnsi="Arial"/>
          <w:b/>
          <w:bCs/>
          <w:color w:val="1B2A4A"/>
          <w:sz w:val="32"/>
          <w:szCs w:val="32"/>
        </w:rPr>
        <w:t xml:space="preserve">Key Differences from Your Initial Proposal</w:t>
      </w:r>
    </w:p>
    <w:p>
      <w:pPr>
        <w:spacing w:after="120"/>
      </w:pPr>
      <w:r>
        <w:rPr>
          <w:rFonts w:ascii="Arial" w:cs="Arial" w:eastAsia="Arial" w:hAnsi="Arial"/>
          <w:color w:val="1B2A4A"/>
          <w:sz w:val="21"/>
          <w:szCs w:val="21"/>
        </w:rPr>
        <w:t xml:space="preserve">Your instinct on the broad categories was sound. Here are the specific changes I recommend and why:</w:t>
      </w:r>
    </w:p>
    <w:p>
      <w:pPr>
        <w:spacing w:before="160"/>
      </w:pPr>
    </w:p>
    <w:p>
      <w:pPr>
        <w:spacing w:after="120"/>
      </w:pPr>
      <w:r>
        <w:rPr>
          <w:rFonts w:ascii="Arial" w:cs="Arial" w:eastAsia="Arial" w:hAnsi="Arial"/>
          <w:b/>
          <w:bCs/>
          <w:color w:val="1B2A4A"/>
          <w:sz w:val="21"/>
          <w:szCs w:val="21"/>
        </w:rPr>
        <w:t xml:space="preserve">1. Numerical reasoning split across two modules (2 and 3) instead of one. </w:t>
      </w:r>
      <w:r>
        <w:rPr>
          <w:rFonts w:ascii="Arial" w:cs="Arial" w:eastAsia="Arial" w:hAnsi="Arial"/>
          <w:color w:val="1B2A4A"/>
          <w:sz w:val="21"/>
          <w:szCs w:val="21"/>
        </w:rPr>
        <w:t xml:space="preserve">Numerical reasoning is the single most important and most trainable skill. It appears in virtually every UK finance screening test. Cramming percentages, ratios, AND multi-table data interpretation into one module would either be too shallow or too overwhelming. Module 2 builds the foundational calculations; Module 3 applies them to realistic data interpretation — which is where the actual test questions live.</w:t>
      </w:r>
    </w:p>
    <w:p>
      <w:pPr>
        <w:spacing w:after="120"/>
      </w:pPr>
      <w:r>
        <w:rPr>
          <w:rFonts w:ascii="Arial" w:cs="Arial" w:eastAsia="Arial" w:hAnsi="Arial"/>
          <w:b/>
          <w:bCs/>
          <w:color w:val="1B2A4A"/>
          <w:sz w:val="21"/>
          <w:szCs w:val="21"/>
        </w:rPr>
        <w:t xml:space="preserve">2. Verbal and logical reasoning combined into one module (4) instead of two. </w:t>
      </w:r>
      <w:r>
        <w:rPr>
          <w:rFonts w:ascii="Arial" w:cs="Arial" w:eastAsia="Arial" w:hAnsi="Arial"/>
          <w:color w:val="1B2A4A"/>
          <w:sz w:val="21"/>
          <w:szCs w:val="21"/>
        </w:rPr>
        <w:t xml:space="preserve">Both test your ability to draw disciplined conclusions from given information. Verbal reasoning (True/False/Cannot Say) and logical reasoning (pattern recognition, deduction) share the same underlying skill. Combining them is more efficient and reflects how candidates actually encounter them — often in the same assessment sitting.</w:t>
      </w:r>
    </w:p>
    <w:p>
      <w:pPr>
        <w:spacing w:after="120"/>
      </w:pPr>
      <w:r>
        <w:rPr>
          <w:rFonts w:ascii="Arial" w:cs="Arial" w:eastAsia="Arial" w:hAnsi="Arial"/>
          <w:b/>
          <w:bCs/>
          <w:color w:val="1B2A4A"/>
          <w:sz w:val="21"/>
          <w:szCs w:val="21"/>
        </w:rPr>
        <w:t xml:space="preserve">3. Personality assessments absorbed into a broader SJT &amp; Behavioural module (5) instead of being standalone. </w:t>
      </w:r>
      <w:r>
        <w:rPr>
          <w:rFonts w:ascii="Arial" w:cs="Arial" w:eastAsia="Arial" w:hAnsi="Arial"/>
          <w:color w:val="1B2A4A"/>
          <w:sz w:val="21"/>
          <w:szCs w:val="21"/>
        </w:rPr>
        <w:t xml:space="preserve">Pure personality tests (like the Big Five questionnaire) cannot be meaningfully taught — attempting to coach candidates to fake responses is both unethical and counterproductive, as consistency checks will flag dishonest answers. However, SJTs are highly trainable and increasingly dominant in UK finance recruitment. Combining both into one module lets you teach what’s teachable (SJT strategy) while giving students informed context about personality/gamified assessments.</w:t>
      </w:r>
    </w:p>
    <w:p>
      <w:pPr>
        <w:spacing w:after="120"/>
      </w:pPr>
      <w:r>
        <w:rPr>
          <w:rFonts w:ascii="Arial" w:cs="Arial" w:eastAsia="Arial" w:hAnsi="Arial"/>
          <w:b/>
          <w:bCs/>
          <w:color w:val="1B2A4A"/>
          <w:sz w:val="21"/>
          <w:szCs w:val="21"/>
        </w:rPr>
        <w:t xml:space="preserve">4. Diagnostic test added to Module 1. </w:t>
      </w:r>
      <w:r>
        <w:rPr>
          <w:rFonts w:ascii="Arial" w:cs="Arial" w:eastAsia="Arial" w:hAnsi="Arial"/>
          <w:color w:val="1B2A4A"/>
          <w:sz w:val="21"/>
          <w:szCs w:val="21"/>
        </w:rPr>
        <w:t xml:space="preserve">A baseline assessment at the start lets students identify weaknesses immediately rather than working linearly through content they may already know. This is especially valuable for candidates on tight timelines.</w:t>
      </w:r>
    </w:p>
    <w:p>
      <w:pPr>
        <w:spacing w:after="120"/>
      </w:pPr>
      <w:r>
        <w:rPr>
          <w:rFonts w:ascii="Arial" w:cs="Arial" w:eastAsia="Arial" w:hAnsi="Arial"/>
          <w:b/>
          <w:bCs/>
          <w:color w:val="1B2A4A"/>
          <w:sz w:val="21"/>
          <w:szCs w:val="21"/>
        </w:rPr>
        <w:t xml:space="preserve">5. Provider-specific tips added to Module 6. </w:t>
      </w:r>
      <w:r>
        <w:rPr>
          <w:rFonts w:ascii="Arial" w:cs="Arial" w:eastAsia="Arial" w:hAnsi="Arial"/>
          <w:color w:val="1B2A4A"/>
          <w:sz w:val="21"/>
          <w:szCs w:val="21"/>
        </w:rPr>
        <w:t xml:space="preserve">SHL Interactive format is fundamentally different from Aon Scales or Korn Ferry Aspects. Students need to know the specific interface and timing of the test they’re about to sit, not just the general question types. This is a concrete differentiator for Acumen Logic.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2026-02-09T16:01:07.000Z</dcterms:created>
  <dcterms:modified xsi:type="dcterms:W3CDTF">2026-02-09T16:01:07.001Z</dcterms:modified>
</cp:coreProperties>
</file>

<file path=docProps/custom.xml><?xml version="1.0" encoding="utf-8"?>
<Properties xmlns="http://schemas.openxmlformats.org/officeDocument/2006/custom-properties" xmlns:vt="http://schemas.openxmlformats.org/officeDocument/2006/docPropsVTypes"/>
</file>