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300"/>
        <w:jc w:val="center"/>
      </w:pPr>
      <w:r>
        <w:drawing>
          <wp:inline distT="0" distB="0" distL="0" distR="0">
            <wp:extent cx="36576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781050"/>
                    </a:xfrm>
                    <a:prstGeom prst="rect">
                      <a:avLst/>
                    </a:prstGeom>
                  </pic:spPr>
                </pic:pic>
              </a:graphicData>
            </a:graphic>
          </wp:inline>
        </w:drawing>
      </w:r>
    </w:p>
    <w:p>
      <w:pPr>
        <w:spacing w:after="0" w:before="120"/>
        <w:jc w:val="center"/>
      </w:pPr>
      <w:r>
        <w:rPr>
          <w:color w:val="2E75B6"/>
          <w:sz w:val="32"/>
          <w:szCs w:val="32"/>
        </w:rPr>
        <w:t xml:space="preserve">Modular Bulk RNA-seq Analysis Pipeline</w:t>
      </w:r>
    </w:p>
    <w:p>
      <w:pPr>
        <w:spacing w:after="0" w:before="480"/>
        <w:jc w:val="center"/>
      </w:pPr>
      <w:r>
        <w:rPr>
          <w:b/>
          <w:bCs/>
          <w:sz w:val="30"/>
          <w:szCs w:val="30"/>
        </w:rPr>
        <w:t xml:space="preserve">User Guide &amp; Output Interpretation</w:t>
      </w:r>
    </w:p>
    <w:p>
      <w:pPr>
        <w:spacing w:after="0" w:before="200"/>
        <w:jc w:val="center"/>
      </w:pPr>
      <w:r>
        <w:rPr>
          <w:color w:val="595959"/>
          <w:sz w:val="24"/>
          <w:szCs w:val="24"/>
        </w:rPr>
        <w:t xml:space="preserve">Version 1.7.0</w:t>
      </w:r>
    </w:p>
    <w:p>
      <w:pPr>
        <w:spacing w:after="0" w:before="2200"/>
        <w:jc w:val="center"/>
      </w:pPr>
      <w:r>
        <w:rPr>
          <w:i/>
          <w:iCs/>
          <w:color w:val="595959"/>
          <w:sz w:val="24"/>
          <w:szCs w:val="24"/>
        </w:rPr>
        <w:t xml:space="preserve">Built with Nextflow DSL2</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pipeline</w:t>
      </w:r>
    </w:p>
    <w:p>
      <w:pPr>
        <w:spacing w:after="120"/>
      </w:pPr>
      <w:r>
        <w:rPr>
          <w:b w:val="false"/>
          <w:bCs w:val="false"/>
          <w:i w:val="false"/>
          <w:iCs w:val="false"/>
        </w:rPr>
        <w:t xml:space="preserve">rnaseq-flow is a modular bulk RNA-seq analysis pipeline implemented in Nextflow DSL2. It processes raw FASTQ files through quality control, read alignment or pseudo-alignment, gene quantification, differential expression, alternative splicing, gene-fusion detection and functional enrichment, and aggregates everything into interactive HTML reports.</w:t>
      </w:r>
    </w:p>
    <w:p>
      <w:pPr>
        <w:spacing w:after="120"/>
      </w:pPr>
      <w:r>
        <w:rPr>
          <w:b w:val="false"/>
          <w:bCs w:val="false"/>
          <w:i w:val="false"/>
          <w:iCs w:val="false"/>
        </w:rPr>
        <w:t xml:space="preserve">The pipeline is modular in three senses: you choose the aligner, you choose which analysis stages run, and you can supply references directly or generate them with built-in helper workflows.</w:t>
      </w:r>
    </w:p>
    <w:p>
      <w:pPr>
        <w:spacing w:after="120"/>
      </w:pPr>
      <w:r>
        <w:rPr>
          <w:b/>
          <w:bCs/>
        </w:rPr>
        <w:t xml:space="preserve">If you would rather follow a worked example than read a reference, </w:t>
      </w:r>
      <w:r>
        <w:t xml:space="preserve">rnaseq-flow_Example_Analysis.md in the repository takes a real public dataset from download to results in under an hour and ends with a biological signature you can check your setup against. Section 11 lists the other documents.</w:t>
      </w:r>
    </w:p>
    <w:p>
      <w:pPr>
        <w:pStyle w:val="Heading2"/>
      </w:pPr>
      <w:r>
        <w:t xml:space="preserve">Analysis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4E79" w:val="clear"/>
            <w:tcMar>
              <w:top w:type="dxa" w:w="60"/>
              <w:left w:type="dxa" w:w="110"/>
              <w:bottom w:type="dxa" w:w="60"/>
              <w:right w:type="dxa" w:w="110"/>
            </w:tcMar>
          </w:tcPr>
          <w:p>
            <w:r>
              <w:rPr>
                <w:b/>
                <w:bCs/>
                <w:color w:val="FFFFFF"/>
                <w:sz w:val="19"/>
                <w:szCs w:val="19"/>
              </w:rPr>
              <w:t xml:space="preserve">Stage</w:t>
            </w:r>
          </w:p>
        </w:tc>
        <w:tc>
          <w:tcPr>
            <w:tcW w:type="dxa" w:w="2400"/>
            <w:shd w:fill="1F4E79" w:val="clear"/>
            <w:tcMar>
              <w:top w:type="dxa" w:w="60"/>
              <w:left w:type="dxa" w:w="110"/>
              <w:bottom w:type="dxa" w:w="60"/>
              <w:right w:type="dxa" w:w="110"/>
            </w:tcMar>
          </w:tcPr>
          <w:p>
            <w:r>
              <w:rPr>
                <w:b/>
                <w:bCs/>
                <w:color w:val="FFFFFF"/>
                <w:sz w:val="19"/>
                <w:szCs w:val="19"/>
              </w:rPr>
              <w:t xml:space="preserve">Tools</w:t>
            </w:r>
          </w:p>
        </w:tc>
        <w:tc>
          <w:tcPr>
            <w:tcW w:type="dxa" w:w="4560"/>
            <w:shd w:fill="1F4E79" w:val="clear"/>
            <w:tcMar>
              <w:top w:type="dxa" w:w="60"/>
              <w:left w:type="dxa" w:w="110"/>
              <w:bottom w:type="dxa" w:w="60"/>
              <w:right w:type="dxa" w:w="110"/>
            </w:tcMar>
          </w:tcPr>
          <w:p>
            <w:r>
              <w:rPr>
                <w:b/>
                <w:bCs/>
                <w:color w:val="FFFFFF"/>
                <w:sz w:val="19"/>
                <w:szCs w:val="19"/>
              </w:rPr>
              <w:t xml:space="preserve">Purpose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Read QC &amp; trimming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FastQC, fastp</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Raw-read QC and adapter/quality trimming</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Genome alignment</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STAR, HISAT2</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Sorted, indexed BAM alignments</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Pseudo-alignment</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Salmon, Kallisto</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Fast transcript-level quantification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Alignment QC</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RSeQC</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Strandedness (auto-fed to featureCounts), read distribution, gene-body coverage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Coverage tracks</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deepTools</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CPM-normalised BigWig files for IGV/UCSC</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Gene quantification</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featureCounts</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Gene-level count matrix (STAR/HISAT2)</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Transcript-to-gene counts</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tximport</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Summarises Salmon/Kallisto to gene level for DE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Differential expression</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DESeq2, edgeR</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Two methods run in parallel as a cross-check</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Alternative splicing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rMATS</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SE, MXE, A3SS, A5SS, RI splicing events</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Fusion detection</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STAR-Fusion</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Gene fusions (requires a CTAT library)</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Isoform switching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IsoformSwitchAnalyzeR</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Transcript-usage switches (Salmon)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Transcript usage (DTU)</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DEXSeq</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Isoform-proportion shifts between conditions (Salmon/Kallisto, opt-in)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Differential splicing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edgeR diffSpliceDGE</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Exon-usage (STAR/HISAT2) and transcript-usage (Salmon/Kallisto) shifts (opt-in)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Functional enrichment</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fgsea, gprofiler2</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GSEA and GO/pathway over-representation</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Reporting</w:t>
            </w:r>
          </w:p>
        </w:tc>
        <w:tc>
          <w:tcPr>
            <w:tcW w:type="dxa" w:w="2400"/>
            <w:shd w:fill="FFFFFF" w:val="clear"/>
            <w:tcMar>
              <w:top w:type="dxa" w:w="60"/>
              <w:left w:type="dxa" w:w="110"/>
              <w:bottom w:type="dxa" w:w="60"/>
              <w:right w:type="dxa" w:w="110"/>
            </w:tcMar>
          </w:tcPr>
          <w:p>
            <w:r>
              <w:rPr>
                <w:b w:val="false"/>
                <w:bCs w:val="false"/>
                <w:color w:val="000000"/>
                <w:sz w:val="19"/>
                <w:szCs w:val="19"/>
              </w:rPr>
              <w:t xml:space="preserve">MultiQC, Quarto</w:t>
            </w:r>
          </w:p>
        </w:tc>
        <w:tc>
          <w:tcPr>
            <w:tcW w:type="dxa" w:w="4560"/>
            <w:shd w:fill="FFFFFF" w:val="clear"/>
            <w:tcMar>
              <w:top w:type="dxa" w:w="60"/>
              <w:left w:type="dxa" w:w="110"/>
              <w:bottom w:type="dxa" w:w="60"/>
              <w:right w:type="dxa" w:w="110"/>
            </w:tcMar>
          </w:tcPr>
          <w:p>
            <w:r>
              <w:rPr>
                <w:b w:val="false"/>
                <w:bCs w:val="false"/>
                <w:color w:val="000000"/>
                <w:sz w:val="19"/>
                <w:szCs w:val="19"/>
              </w:rPr>
              <w:t xml:space="preserve">Aggregated HTML reports</w:t>
            </w:r>
          </w:p>
        </w:tc>
      </w:tr>
    </w:tbl>
    <w:p>
      <w:pPr>
        <w:spacing w:after="80"/>
      </w:pPr>
    </w:p>
    <w:p>
      <w:pPr>
        <w:pStyle w:val="Heading1"/>
      </w:pPr>
      <w:r>
        <w:t xml:space="preserve">2. Requirements &amp; installation</w:t>
      </w:r>
    </w:p>
    <w:p>
      <w:pPr>
        <w:pStyle w:val="ListParagraph"/>
        <w:numPr>
          <w:ilvl w:val="0"/>
          <w:numId w:val="2"/>
        </w:numPr>
        <w:spacing w:after="60"/>
      </w:pPr>
      <w:r>
        <w:rPr>
          <w:b/>
          <w:bCs/>
        </w:rPr>
        <w:t xml:space="preserve">Nextflow </w:t>
      </w:r>
      <w:r>
        <w:t xml:space="preserve">version 25.10.0 or newer (the pipeline uses the strict language, default from 25.10; verified on 26.04).</w:t>
      </w:r>
    </w:p>
    <w:p>
      <w:pPr>
        <w:pStyle w:val="ListParagraph"/>
        <w:numPr>
          <w:ilvl w:val="0"/>
          <w:numId w:val="2"/>
        </w:numPr>
        <w:spacing w:after="60"/>
      </w:pPr>
      <w:r>
        <w:rPr>
          <w:b/>
          <w:bCs/>
        </w:rPr>
        <w:t xml:space="preserve">Java </w:t>
      </w:r>
      <w:r>
        <w:t xml:space="preserve">17 to 26 (required by Nextflow; Java 11 has not been supported since Nextflow 24).</w:t>
      </w:r>
    </w:p>
    <w:p>
      <w:pPr>
        <w:pStyle w:val="ListParagraph"/>
        <w:numPr>
          <w:ilvl w:val="0"/>
          <w:numId w:val="2"/>
        </w:numPr>
        <w:spacing w:after="60"/>
      </w:pPr>
      <w:r>
        <w:rPr>
          <w:b/>
          <w:bCs/>
        </w:rPr>
        <w:t xml:space="preserve">A container engine </w:t>
      </w:r>
      <w:r>
        <w:t xml:space="preserve">- Docker or Singularity/Apptainer - or Conda. Every process declares its own container, so no bioinformatics tools need to be installed manually.</w:t>
      </w:r>
    </w:p>
    <w:p>
      <w:pPr>
        <w:spacing w:after="120"/>
      </w:pPr>
      <w:r>
        <w:rPr>
          <w:b/>
          <w:bCs/>
        </w:rPr>
        <w:t xml:space="preserve">Install Nextflow:</w:t>
      </w:r>
    </w:p>
    <w:p>
      <w:pPr>
        <w:shd w:fill="F4F4F4" w:val="clear"/>
        <w:spacing w:after="0" w:before="60"/>
        <w:ind w:left="120"/>
      </w:pPr>
      <w:r>
        <w:rPr>
          <w:rFonts w:ascii="Consolas" w:cs="Consolas" w:eastAsia="Consolas" w:hAnsi="Consolas"/>
          <w:sz w:val="19"/>
          <w:szCs w:val="19"/>
        </w:rPr>
        <w:t xml:space="preserve">curl -s https://get.nextflow.io | bash</w:t>
      </w:r>
    </w:p>
    <w:p>
      <w:pPr>
        <w:shd w:fill="F4F4F4" w:val="clear"/>
        <w:spacing w:after="0" w:before="0"/>
        <w:ind w:left="120"/>
      </w:pPr>
      <w:r>
        <w:rPr>
          <w:rFonts w:ascii="Consolas" w:cs="Consolas" w:eastAsia="Consolas" w:hAnsi="Consolas"/>
          <w:sz w:val="19"/>
          <w:szCs w:val="19"/>
        </w:rPr>
        <w:t xml:space="preserve">sudo mv nextflow /usr/local/bin/</w:t>
      </w:r>
    </w:p>
    <w:p>
      <w:pPr>
        <w:shd w:fill="F4F4F4" w:val="clear"/>
        <w:spacing w:after="140" w:before="0"/>
        <w:ind w:left="120"/>
      </w:pPr>
      <w:r>
        <w:rPr>
          <w:rFonts w:ascii="Consolas" w:cs="Consolas" w:eastAsia="Consolas" w:hAnsi="Consolas"/>
          <w:sz w:val="19"/>
          <w:szCs w:val="19"/>
        </w:rPr>
        <w:t xml:space="preserve">nextflow -version</w:t>
      </w:r>
    </w:p>
    <w:p>
      <w:pPr>
        <w:spacing w:after="120"/>
      </w:pPr>
      <w:r>
        <w:rPr>
          <w:b/>
          <w:bCs/>
        </w:rPr>
        <w:t xml:space="preserve">Validate the pipeline without data. </w:t>
      </w:r>
      <w:r>
        <w:t xml:space="preserve">Every process ships a stub block, so the full workflow graph can be dry-run in seconds:</w:t>
      </w:r>
    </w:p>
    <w:p>
      <w:pPr>
        <w:shd w:fill="F4F4F4" w:val="clear"/>
        <w:spacing w:after="0" w:before="60"/>
        <w:ind w:left="120"/>
      </w:pPr>
      <w:r>
        <w:rPr>
          <w:rFonts w:ascii="Consolas" w:cs="Consolas" w:eastAsia="Consolas" w:hAnsi="Consolas"/>
          <w:sz w:val="19"/>
          <w:szCs w:val="19"/>
        </w:rPr>
        <w:t xml:space="preserve">nextflow run main.nf --input samplesheet_test.csv --aligner star \</w:t>
      </w:r>
    </w:p>
    <w:p>
      <w:pPr>
        <w:shd w:fill="F4F4F4" w:val="clear"/>
        <w:spacing w:after="140" w:before="0"/>
        <w:ind w:left="120"/>
      </w:pPr>
      <w:r>
        <w:rPr>
          <w:rFonts w:ascii="Consolas" w:cs="Consolas" w:eastAsia="Consolas" w:hAnsi="Consolas"/>
          <w:sz w:val="19"/>
          <w:szCs w:val="19"/>
        </w:rPr>
        <w:t xml:space="preserve">    --star_index fake --gtf fake.gtf -stub-run</w:t>
      </w:r>
    </w:p>
    <w:p>
      <w:pPr>
        <w:spacing w:after="120"/>
      </w:pPr>
      <w:r>
        <w:rPr>
          <w:b/>
          <w:bCs/>
        </w:rPr>
        <w:t xml:space="preserve">Check a samplesheet before running. </w:t>
      </w:r>
      <w:r>
        <w:t xml:space="preserve">Add --validate_only to any normal run command to validate the inputs and stop before a single process is scheduled. It runs exactly the validation a real run performs, so there is no second rule set to drift out of step, and it reports every problem at once rather than stopping at the first:</w:t>
      </w:r>
    </w:p>
    <w:p>
      <w:pPr>
        <w:shd w:fill="F4F4F4" w:val="clear"/>
        <w:spacing w:after="0" w:before="60"/>
        <w:ind w:left="120"/>
      </w:pPr>
      <w:r>
        <w:rPr>
          <w:rFonts w:ascii="Consolas" w:cs="Consolas" w:eastAsia="Consolas" w:hAnsi="Consolas"/>
          <w:sz w:val="19"/>
          <w:szCs w:val="19"/>
        </w:rPr>
        <w:t xml:space="preserve">nextflow run main.nf --input samplesheet.csv --aligner star \</w:t>
      </w:r>
    </w:p>
    <w:p>
      <w:pPr>
        <w:shd w:fill="F4F4F4" w:val="clear"/>
        <w:spacing w:after="0" w:before="0"/>
        <w:ind w:left="120"/>
      </w:pPr>
      <w:r>
        <w:rPr>
          <w:rFonts w:ascii="Consolas" w:cs="Consolas" w:eastAsia="Consolas" w:hAnsi="Consolas"/>
          <w:sz w:val="19"/>
          <w:szCs w:val="19"/>
        </w:rPr>
        <w:t xml:space="preserve">    --star_index /path/to/star_index --gtf /path/to/genes.gtf \</w:t>
      </w:r>
    </w:p>
    <w:p>
      <w:pPr>
        <w:shd w:fill="F4F4F4" w:val="clear"/>
        <w:spacing w:after="0" w:before="0"/>
        <w:ind w:left="120"/>
      </w:pPr>
      <w:r>
        <w:rPr>
          <w:rFonts w:ascii="Consolas" w:cs="Consolas" w:eastAsia="Consolas" w:hAnsi="Consolas"/>
          <w:sz w:val="19"/>
          <w:szCs w:val="19"/>
        </w:rPr>
        <w:t xml:space="preserve">    --validate_only</w:t>
      </w:r>
    </w:p>
    <w:p>
      <w:pPr>
        <w:shd w:fill="F4F4F4" w:val="clear"/>
        <w:spacing w:after="0" w:before="0"/>
        <w:ind w:left="120"/>
      </w:pPr>
      <w:r>
        <w:rPr>
          <w:rFonts w:ascii="Consolas" w:cs="Consolas" w:eastAsia="Consolas" w:hAnsi="Consolas"/>
          <w:sz w:val="19"/>
          <w:szCs w:val="19"/>
        </w:rPr>
        <w:t xml:space="preserve"> </w:t>
      </w:r>
    </w:p>
    <w:p>
      <w:pPr>
        <w:shd w:fill="F4F4F4" w:val="clear"/>
        <w:spacing w:after="0" w:before="0"/>
        <w:ind w:left="120"/>
      </w:pPr>
      <w:r>
        <w:rPr>
          <w:rFonts w:ascii="Consolas" w:cs="Consolas" w:eastAsia="Consolas" w:hAnsi="Consolas"/>
          <w:sz w:val="19"/>
          <w:szCs w:val="19"/>
        </w:rPr>
        <w:t xml:space="preserve">Samplesheet OK: 6 sample(s), 2 condition(s) [REF:3, NaCl:3]</w:t>
      </w:r>
    </w:p>
    <w:p>
      <w:pPr>
        <w:shd w:fill="F4F4F4" w:val="clear"/>
        <w:spacing w:after="140" w:before="0"/>
        <w:ind w:left="120"/>
      </w:pPr>
      <w:r>
        <w:rPr>
          <w:rFonts w:ascii="Consolas" w:cs="Consolas" w:eastAsia="Consolas" w:hAnsi="Consolas"/>
          <w:sz w:val="19"/>
          <w:szCs w:val="19"/>
        </w:rPr>
        <w:t xml:space="preserve">--validate_only: inputs are valid. No processes were run.</w:t>
      </w:r>
    </w:p>
    <w:p>
      <w:pPr>
        <w:spacing w:after="120"/>
      </w:pPr>
      <w:r>
        <w:rPr>
          <w:b w:val="false"/>
          <w:bCs w:val="false"/>
          <w:i w:val="false"/>
          <w:iCs w:val="false"/>
        </w:rPr>
        <w:t xml:space="preserve">It checks the required columns, empty or duplicated sample ids, R1/R2 paths that resolve on disk, at least two conditions with at least two replicates each, and that every --design variable is a samplesheet column. It exits non-zero on failure, so it works as a gate in a script. This is the check worth running before submitting to a cluster or copying into a secure environment, where the round trip to discover a mistyped path is measured in hours.</w:t>
      </w:r>
    </w:p>
    <w:p>
      <w:pPr>
        <w:spacing w:after="120"/>
      </w:pPr>
      <w:r>
        <w:rPr>
          <w:b/>
          <w:bCs/>
        </w:rPr>
        <w:t xml:space="preserve">Discover parameters. </w:t>
      </w:r>
      <w:r>
        <w:t xml:space="preserve">Run 'nextflow run main.nf --help' to print every parameter, grouped with its default. Parameters are also validated on every run from nextflow_schema.json: an unrecognised --option (a typo) aborts the run immediately instead of being silently ignored.</w:t>
      </w:r>
    </w:p>
    <w:p>
      <w:pPr>
        <w:spacing w:after="120"/>
      </w:pPr>
      <w:r>
        <w:rPr>
          <w:b w:val="false"/>
          <w:bCs w:val="false"/>
          <w:i w:val="false"/>
          <w:iCs w:val="false"/>
        </w:rPr>
        <w:t xml:space="preserve">Run the real pipeline with one of the bundled profiles: -profile docker, -profile singularity or -profile conda. Section 6.7 covers the cluster and offline profiles.</w:t>
      </w:r>
    </w:p>
    <w:p>
      <w:pPr>
        <w:pStyle w:val="Heading1"/>
      </w:pPr>
      <w:r>
        <w:t xml:space="preserve">3. The three run modes</w:t>
      </w:r>
    </w:p>
    <w:p>
      <w:pPr>
        <w:spacing w:after="120"/>
      </w:pPr>
      <w:r>
        <w:rPr>
          <w:b w:val="false"/>
          <w:bCs w:val="false"/>
          <w:i w:val="false"/>
          <w:iCs w:val="false"/>
        </w:rPr>
        <w:t xml:space="preserve">main.nf has a single entry point that dispatches to one of three workflows based on the flags you pass. Only one mode runs per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60"/>
              <w:left w:type="dxa" w:w="110"/>
              <w:bottom w:type="dxa" w:w="60"/>
              <w:right w:type="dxa" w:w="110"/>
            </w:tcMar>
          </w:tcPr>
          <w:p>
            <w:r>
              <w:rPr>
                <w:b/>
                <w:bCs/>
                <w:color w:val="FFFFFF"/>
                <w:sz w:val="19"/>
                <w:szCs w:val="19"/>
              </w:rPr>
              <w:t xml:space="preserve">Flag</w:t>
            </w:r>
          </w:p>
        </w:tc>
        <w:tc>
          <w:tcPr>
            <w:tcW w:type="dxa" w:w="2200"/>
            <w:shd w:fill="1F4E79" w:val="clear"/>
            <w:tcMar>
              <w:top w:type="dxa" w:w="60"/>
              <w:left w:type="dxa" w:w="110"/>
              <w:bottom w:type="dxa" w:w="60"/>
              <w:right w:type="dxa" w:w="110"/>
            </w:tcMar>
          </w:tcPr>
          <w:p>
            <w:r>
              <w:rPr>
                <w:b/>
                <w:bCs/>
                <w:color w:val="FFFFFF"/>
                <w:sz w:val="19"/>
                <w:szCs w:val="19"/>
              </w:rPr>
              <w:t xml:space="preserve">Workflow</w:t>
            </w:r>
          </w:p>
        </w:tc>
        <w:tc>
          <w:tcPr>
            <w:tcW w:type="dxa" w:w="4760"/>
            <w:shd w:fill="1F4E79" w:val="clear"/>
            <w:tcMar>
              <w:top w:type="dxa" w:w="60"/>
              <w:left w:type="dxa" w:w="110"/>
              <w:bottom w:type="dxa" w:w="60"/>
              <w:right w:type="dxa" w:w="110"/>
            </w:tcMar>
          </w:tcPr>
          <w:p>
            <w:r>
              <w:rPr>
                <w:b/>
                <w:bCs/>
                <w:color w:val="FFFFFF"/>
                <w:sz w:val="19"/>
                <w:szCs w:val="19"/>
              </w:rPr>
              <w:t xml:space="preserve">Purpose</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--download_refs</w:t>
            </w:r>
          </w:p>
        </w:tc>
        <w:tc>
          <w:tcPr>
            <w:tcW w:type="dxa" w:w="2200"/>
            <w:shd w:fill="FFFFFF" w:val="clear"/>
            <w:tcMar>
              <w:top w:type="dxa" w:w="60"/>
              <w:left w:type="dxa" w:w="110"/>
              <w:bottom w:type="dxa" w:w="60"/>
              <w:right w:type="dxa" w:w="110"/>
            </w:tcMar>
          </w:tcPr>
          <w:p>
            <w:r>
              <w:rPr>
                <w:b w:val="false"/>
                <w:bCs w:val="false"/>
                <w:color w:val="000000"/>
                <w:sz w:val="19"/>
                <w:szCs w:val="19"/>
              </w:rPr>
              <w:t xml:space="preserve">DOWNLOAD</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Fetch genome FASTA + GTF (and optional GMT gene sets) from Ensembl</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--build_indices</w:t>
            </w:r>
          </w:p>
        </w:tc>
        <w:tc>
          <w:tcPr>
            <w:tcW w:type="dxa" w:w="2200"/>
            <w:shd w:fill="FFFFFF" w:val="clear"/>
            <w:tcMar>
              <w:top w:type="dxa" w:w="60"/>
              <w:left w:type="dxa" w:w="110"/>
              <w:bottom w:type="dxa" w:w="60"/>
              <w:right w:type="dxa" w:w="110"/>
            </w:tcMar>
          </w:tcPr>
          <w:p>
            <w:r>
              <w:rPr>
                <w:b w:val="false"/>
                <w:bCs w:val="false"/>
                <w:color w:val="000000"/>
                <w:sz w:val="19"/>
                <w:szCs w:val="19"/>
              </w:rPr>
              <w:t xml:space="preserve">BUILD_INDICES</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Build STAR / HISAT2 / Salmon / Kallisto indices</w:t>
            </w:r>
          </w:p>
        </w:tc>
      </w:tr>
      <w:tr>
        <w:trPr>
          <w:tblHeader w:val="false"/>
        </w:trPr>
        <w:tc>
          <w:tcPr>
            <w:tcW w:type="dxa" w:w="2400"/>
            <w:shd w:fill="FFFFFF" w:val="clear"/>
            <w:tcMar>
              <w:top w:type="dxa" w:w="60"/>
              <w:left w:type="dxa" w:w="110"/>
              <w:bottom w:type="dxa" w:w="60"/>
              <w:right w:type="dxa" w:w="110"/>
            </w:tcMar>
          </w:tcPr>
          <w:p>
            <w:r>
              <w:rPr>
                <w:b w:val="false"/>
                <w:bCs w:val="false"/>
                <w:color w:val="000000"/>
                <w:sz w:val="19"/>
                <w:szCs w:val="19"/>
              </w:rPr>
              <w:t xml:space="preserve">(neither flag; --input given)</w:t>
            </w:r>
          </w:p>
        </w:tc>
        <w:tc>
          <w:tcPr>
            <w:tcW w:type="dxa" w:w="2200"/>
            <w:shd w:fill="FFFFFF" w:val="clear"/>
            <w:tcMar>
              <w:top w:type="dxa" w:w="60"/>
              <w:left w:type="dxa" w:w="110"/>
              <w:bottom w:type="dxa" w:w="60"/>
              <w:right w:type="dxa" w:w="110"/>
            </w:tcMar>
          </w:tcPr>
          <w:p>
            <w:r>
              <w:rPr>
                <w:b w:val="false"/>
                <w:bCs w:val="false"/>
                <w:color w:val="000000"/>
                <w:sz w:val="19"/>
                <w:szCs w:val="19"/>
              </w:rPr>
              <w:t xml:space="preserve">RNASEQ</w:t>
            </w:r>
          </w:p>
        </w:tc>
        <w:tc>
          <w:tcPr>
            <w:tcW w:type="dxa" w:w="4760"/>
            <w:shd w:fill="FFFFFF" w:val="clear"/>
            <w:tcMar>
              <w:top w:type="dxa" w:w="60"/>
              <w:left w:type="dxa" w:w="110"/>
              <w:bottom w:type="dxa" w:w="60"/>
              <w:right w:type="dxa" w:w="110"/>
            </w:tcMar>
          </w:tcPr>
          <w:p>
            <w:r>
              <w:rPr>
                <w:b w:val="false"/>
                <w:bCs w:val="false"/>
                <w:color w:val="000000"/>
                <w:sz w:val="19"/>
                <w:szCs w:val="19"/>
              </w:rPr>
              <w:t xml:space="preserve">The full analysis pipeline</w:t>
            </w:r>
          </w:p>
        </w:tc>
      </w:tr>
    </w:tbl>
    <w:p>
      <w:pPr>
        <w:spacing w:after="80"/>
      </w:pPr>
    </w:p>
    <w:p>
      <w:pPr>
        <w:pStyle w:val="Heading1"/>
      </w:pPr>
      <w:r>
        <w:t xml:space="preserve">4. Mode 1 - Download references</w:t>
      </w:r>
    </w:p>
    <w:p>
      <w:pPr>
        <w:spacing w:after="120"/>
      </w:pPr>
      <w:r>
        <w:rPr>
          <w:b w:val="false"/>
          <w:bCs w:val="false"/>
          <w:i w:val="false"/>
          <w:iCs w:val="false"/>
        </w:rPr>
        <w:t xml:space="preserve">Fetches the genome FASTA and GTF annotation for an Ensembl species, and optionally MSigDB gene sets for GSEA.</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--download_refs \</w:t>
      </w:r>
    </w:p>
    <w:p>
      <w:pPr>
        <w:shd w:fill="F4F4F4" w:val="clear"/>
        <w:spacing w:after="0" w:before="0"/>
        <w:ind w:left="120"/>
      </w:pPr>
      <w:r>
        <w:rPr>
          <w:rFonts w:ascii="Consolas" w:cs="Consolas" w:eastAsia="Consolas" w:hAnsi="Consolas"/>
          <w:sz w:val="19"/>
          <w:szCs w:val="19"/>
        </w:rPr>
        <w:t xml:space="preserve">    --download_species homo_sapiens \</w:t>
      </w:r>
    </w:p>
    <w:p>
      <w:pPr>
        <w:shd w:fill="F4F4F4" w:val="clear"/>
        <w:spacing w:after="0" w:before="0"/>
        <w:ind w:left="120"/>
      </w:pPr>
      <w:r>
        <w:rPr>
          <w:rFonts w:ascii="Consolas" w:cs="Consolas" w:eastAsia="Consolas" w:hAnsi="Consolas"/>
          <w:sz w:val="19"/>
          <w:szCs w:val="19"/>
        </w:rPr>
        <w:t xml:space="preserve">    --download_source ensembl \</w:t>
      </w:r>
    </w:p>
    <w:p>
      <w:pPr>
        <w:shd w:fill="F4F4F4" w:val="clear"/>
        <w:spacing w:after="0" w:before="0"/>
        <w:ind w:left="120"/>
      </w:pPr>
      <w:r>
        <w:rPr>
          <w:rFonts w:ascii="Consolas" w:cs="Consolas" w:eastAsia="Consolas" w:hAnsi="Consolas"/>
          <w:sz w:val="19"/>
          <w:szCs w:val="19"/>
        </w:rPr>
        <w:t xml:space="preserve">    --download_release 102 \</w:t>
      </w:r>
    </w:p>
    <w:p>
      <w:pPr>
        <w:shd w:fill="F4F4F4" w:val="clear"/>
        <w:spacing w:after="0" w:before="0"/>
        <w:ind w:left="120"/>
      </w:pPr>
      <w:r>
        <w:rPr>
          <w:rFonts w:ascii="Consolas" w:cs="Consolas" w:eastAsia="Consolas" w:hAnsi="Consolas"/>
          <w:sz w:val="19"/>
          <w:szCs w:val="19"/>
        </w:rPr>
        <w:t xml:space="preserve">    --download_gmt \</w:t>
      </w:r>
    </w:p>
    <w:p>
      <w:pPr>
        <w:shd w:fill="F4F4F4" w:val="clear"/>
        <w:spacing w:after="0" w:before="0"/>
        <w:ind w:left="120"/>
      </w:pPr>
      <w:r>
        <w:rPr>
          <w:rFonts w:ascii="Consolas" w:cs="Consolas" w:eastAsia="Consolas" w:hAnsi="Consolas"/>
          <w:sz w:val="19"/>
          <w:szCs w:val="19"/>
        </w:rPr>
        <w:t xml:space="preserve">    --organism hsapiens \</w:t>
      </w:r>
    </w:p>
    <w:p>
      <w:pPr>
        <w:shd w:fill="F4F4F4" w:val="clear"/>
        <w:spacing w:after="0" w:before="0"/>
        <w:ind w:left="120"/>
      </w:pPr>
      <w:r>
        <w:rPr>
          <w:rFonts w:ascii="Consolas" w:cs="Consolas" w:eastAsia="Consolas" w:hAnsi="Consolas"/>
          <w:sz w:val="19"/>
          <w:szCs w:val="19"/>
        </w:rPr>
        <w:t xml:space="preserve">    --outdir references/human \</w:t>
      </w:r>
    </w:p>
    <w:p>
      <w:pPr>
        <w:shd w:fill="F4F4F4" w:val="clear"/>
        <w:spacing w:after="140" w:before="0"/>
        <w:ind w:left="120"/>
      </w:pPr>
      <w:r>
        <w:rPr>
          <w:rFonts w:ascii="Consolas" w:cs="Consolas" w:eastAsia="Consolas" w:hAnsi="Consolas"/>
          <w:sz w:val="19"/>
          <w:szCs w:val="19"/>
        </w:rPr>
        <w:t xml:space="preserve">    -profile docker</w:t>
      </w:r>
    </w:p>
    <w:p>
      <w:pPr>
        <w:spacing w:after="120"/>
      </w:pPr>
      <w:r>
        <w:rPr>
          <w:b/>
          <w:bCs/>
        </w:rPr>
        <w:t xml:space="preserve">Reproducibility. </w:t>
      </w:r>
      <w:r>
        <w:t xml:space="preserve">--download_release pins a specific Ensembl release (e.g. 102; a leading 'v' is accepted). The reference files are then written to a versioned subfolder under --outdir - the example above produces references/human/v102/. Omit --download_release to resolve and fetch the latest release straight into --outdir. The download_log.txt always records the resolved release, the assembly name, all three filenames, and the exact --download_release value that reproduces the set.</w:t>
      </w:r>
    </w:p>
    <w:p>
      <w:pPr>
        <w:spacing w:after="120"/>
      </w:pPr>
      <w:r>
        <w:rPr>
          <w:b/>
          <w:bCs/>
        </w:rPr>
        <w:t xml:space="preserve">Outputs </w:t>
      </w:r>
      <w:r>
        <w:t xml:space="preserve">(under the versioned subfolder): the genome FASTA (.dna.primary_assembly.fa.gz, or .dna.toplevel.fa.gz for species that publish no primary assembly), the annotation (.gtf.gz), the cDNA transcriptome (.cdna.all.fa.gz, which is what --transcript_fasta expects), a human-readable download_log.txt, and a machine-readable reference_metadata.json. With --download_gmt, a gmt/ folder of Hallmark, C2 (KEGG/Reactome) and C5 (GO) gene sets is written under --outdir.</w:t>
      </w:r>
    </w:p>
    <w:p>
      <w:pPr>
        <w:spacing w:after="120"/>
      </w:pPr>
      <w:r>
        <w:rPr>
          <w:b/>
          <w:bCs/>
        </w:rPr>
        <w:t xml:space="preserve">reference_metadata.json </w:t>
      </w:r>
      <w:r>
        <w:t xml:space="preserve">records the source, the requested and resolved Ensembl release, the assembly, the annotation version, and each file's URL, byte count and SHA-256. The download is the only moment some of this can be known: an Ensembl GTF's header carries the assembly and the genebuild date but not the release, and the trailing number in the filename is an annotation version, not the release. Keep the file with the references. A later run reads it and reports exactly which reference set it used, in the analysis report's Run overview; without it the report can only say the annotation was user-supplied and the release not recorded.</w:t>
      </w:r>
    </w:p>
    <w:p>
      <w:pPr>
        <w:pBdr>
          <w:left w:val="single" w:color="E0A800" w:sz="18" w:space="6"/>
        </w:pBdr>
        <w:shd w:fill="FFF4CE" w:val="clear"/>
        <w:spacing w:after="140" w:before="80"/>
        <w:ind w:left="160"/>
      </w:pPr>
      <w:r>
        <w:rPr>
          <w:b/>
          <w:bCs/>
        </w:rPr>
        <w:t xml:space="preserve">Note  </w:t>
      </w:r>
      <w:r>
        <w:t xml:space="preserve">Which GTF? Ensembl publishes several annotations per species (abinitio, chr, chr_patch_hapl_scaff, and the canonical one). Only the canonical GTF describes the primary-assembly genome; the others add patch scaffolds and alternative haplotypes that have no matching sequence. The pipeline selects the GTF and the transcriptome by the assembly named in the genome FASTA, and fails loudly rather than guessing. Reference sets downloaded with rnaseq-flow before v1.2.0 used the patch/haplotype GTF and should be re-downloaded.</w:t>
      </w:r>
    </w:p>
    <w:p>
      <w:pPr>
        <w:pBdr>
          <w:left w:val="single" w:color="E0A800" w:sz="18" w:space="6"/>
        </w:pBdr>
        <w:shd w:fill="FFF4CE" w:val="clear"/>
        <w:spacing w:after="140" w:before="80"/>
        <w:ind w:left="160"/>
      </w:pPr>
      <w:r>
        <w:rPr>
          <w:b/>
          <w:bCs/>
        </w:rPr>
        <w:t xml:space="preserve">Note  </w:t>
      </w:r>
      <w:r>
        <w:t xml:space="preserve">Only the cDNA transcriptome is fetched. If your library is rRNA-depleted rather than poly-A selected, also index Ensembl's ncrna.fa.gz for that species, or lncRNAs go unquantified.</w:t>
      </w:r>
    </w:p>
    <w:p>
      <w:pPr>
        <w:pStyle w:val="Heading1"/>
      </w:pPr>
      <w:r>
        <w:t xml:space="preserve">5. Mode 2 - Build indices</w:t>
      </w:r>
    </w:p>
    <w:p>
      <w:pPr>
        <w:spacing w:after="120"/>
      </w:pPr>
      <w:r>
        <w:rPr>
          <w:b w:val="false"/>
          <w:bCs w:val="false"/>
          <w:i w:val="false"/>
          <w:iCs w:val="false"/>
        </w:rPr>
        <w:t xml:space="preserve">Builds the index for one aligner, or all four at once with --aligner all. FASTA/GTF inputs may be gzipped or uncompressed.</w:t>
      </w:r>
    </w:p>
    <w:p>
      <w:pPr>
        <w:shd w:fill="F4F4F4" w:val="clear"/>
        <w:spacing w:after="0" w:before="60"/>
        <w:ind w:left="120"/>
      </w:pPr>
      <w:r>
        <w:rPr>
          <w:rFonts w:ascii="Consolas" w:cs="Consolas" w:eastAsia="Consolas" w:hAnsi="Consolas"/>
          <w:sz w:val="19"/>
          <w:szCs w:val="19"/>
        </w:rPr>
        <w:t xml:space="preserve">nextflow run main.nf --build_indices --aligner star \</w:t>
      </w:r>
    </w:p>
    <w:p>
      <w:pPr>
        <w:shd w:fill="F4F4F4" w:val="clear"/>
        <w:spacing w:after="0" w:before="0"/>
        <w:ind w:left="120"/>
      </w:pPr>
      <w:r>
        <w:rPr>
          <w:rFonts w:ascii="Consolas" w:cs="Consolas" w:eastAsia="Consolas" w:hAnsi="Consolas"/>
          <w:sz w:val="19"/>
          <w:szCs w:val="19"/>
        </w:rPr>
        <w:t xml:space="preserve">    --genome_fasta references/human/genome.fa.gz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140" w:before="0"/>
        <w:ind w:left="120"/>
      </w:pPr>
      <w:r>
        <w:rPr>
          <w:rFonts w:ascii="Consolas" w:cs="Consolas" w:eastAsia="Consolas" w:hAnsi="Consolas"/>
          <w:sz w:val="19"/>
          <w:szCs w:val="19"/>
        </w:rPr>
        <w:t xml:space="preserve">    --outdir indices/human -profile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shd w:fill="1F4E79" w:val="clear"/>
            <w:tcMar>
              <w:top w:type="dxa" w:w="60"/>
              <w:left w:type="dxa" w:w="110"/>
              <w:bottom w:type="dxa" w:w="60"/>
              <w:right w:type="dxa" w:w="110"/>
            </w:tcMar>
          </w:tcPr>
          <w:p>
            <w:r>
              <w:rPr>
                <w:b/>
                <w:bCs/>
                <w:color w:val="FFFFFF"/>
                <w:sz w:val="19"/>
                <w:szCs w:val="19"/>
              </w:rPr>
              <w:t xml:space="preserve">Aligner</w:t>
            </w:r>
          </w:p>
        </w:tc>
        <w:tc>
          <w:tcPr>
            <w:tcW w:type="dxa" w:w="3500"/>
            <w:shd w:fill="1F4E79" w:val="clear"/>
            <w:tcMar>
              <w:top w:type="dxa" w:w="60"/>
              <w:left w:type="dxa" w:w="110"/>
              <w:bottom w:type="dxa" w:w="60"/>
              <w:right w:type="dxa" w:w="110"/>
            </w:tcMar>
          </w:tcPr>
          <w:p>
            <w:r>
              <w:rPr>
                <w:b/>
                <w:bCs/>
                <w:color w:val="FFFFFF"/>
                <w:sz w:val="19"/>
                <w:szCs w:val="19"/>
              </w:rPr>
              <w:t xml:space="preserve">Requires</w:t>
            </w:r>
          </w:p>
        </w:tc>
        <w:tc>
          <w:tcPr>
            <w:tcW w:type="dxa" w:w="4160"/>
            <w:shd w:fill="1F4E79" w:val="clear"/>
            <w:tcMar>
              <w:top w:type="dxa" w:w="60"/>
              <w:left w:type="dxa" w:w="110"/>
              <w:bottom w:type="dxa" w:w="60"/>
              <w:right w:type="dxa" w:w="110"/>
            </w:tcMar>
          </w:tcPr>
          <w:p>
            <w:r>
              <w:rPr>
                <w:b/>
                <w:bCs/>
                <w:color w:val="FFFFFF"/>
                <w:sz w:val="19"/>
                <w:szCs w:val="19"/>
              </w:rPr>
              <w:t xml:space="preserve">Produces</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star</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--genome_fasta, --gtf</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star_index/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hisat2</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--genome_fasta (--gtf optional)</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hisat2_index/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salmon</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--transcript_fasta, --genome_fasta</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salmon_index/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kallisto</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--transcript_fasta</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kallisto_index</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all</w:t>
            </w:r>
          </w:p>
        </w:tc>
        <w:tc>
          <w:tcPr>
            <w:tcW w:type="dxa" w:w="3500"/>
            <w:shd w:fill="FFFFFF" w:val="clear"/>
            <w:tcMar>
              <w:top w:type="dxa" w:w="60"/>
              <w:left w:type="dxa" w:w="110"/>
              <w:bottom w:type="dxa" w:w="60"/>
              <w:right w:type="dxa" w:w="110"/>
            </w:tcMar>
          </w:tcPr>
          <w:p>
            <w:r>
              <w:rPr>
                <w:b w:val="false"/>
                <w:bCs w:val="false"/>
                <w:color w:val="000000"/>
                <w:sz w:val="19"/>
                <w:szCs w:val="19"/>
              </w:rPr>
              <w:t xml:space="preserve">all of the above</w:t>
            </w:r>
          </w:p>
        </w:tc>
        <w:tc>
          <w:tcPr>
            <w:tcW w:type="dxa" w:w="4160"/>
            <w:shd w:fill="FFFFFF" w:val="clear"/>
            <w:tcMar>
              <w:top w:type="dxa" w:w="60"/>
              <w:left w:type="dxa" w:w="110"/>
              <w:bottom w:type="dxa" w:w="60"/>
              <w:right w:type="dxa" w:w="110"/>
            </w:tcMar>
          </w:tcPr>
          <w:p>
            <w:r>
              <w:rPr>
                <w:b w:val="false"/>
                <w:bCs w:val="false"/>
                <w:color w:val="000000"/>
                <w:sz w:val="19"/>
                <w:szCs w:val="19"/>
              </w:rPr>
              <w:t xml:space="preserve">all four indices</w:t>
            </w:r>
          </w:p>
        </w:tc>
      </w:tr>
    </w:tbl>
    <w:p>
      <w:pPr>
        <w:spacing w:after="80"/>
      </w:pPr>
    </w:p>
    <w:p>
      <w:pPr>
        <w:pStyle w:val="Heading1"/>
      </w:pPr>
      <w:r>
        <w:t xml:space="preserve">6. Mode 3 - Running the analysis</w:t>
      </w:r>
    </w:p>
    <w:p>
      <w:pPr>
        <w:pStyle w:val="Heading2"/>
      </w:pPr>
      <w:r>
        <w:t xml:space="preserve">6.1 The samplesheet</w:t>
      </w:r>
    </w:p>
    <w:p>
      <w:pPr>
        <w:spacing w:after="120"/>
      </w:pPr>
      <w:r>
        <w:rPr>
          <w:b w:val="false"/>
          <w:bCs w:val="false"/>
          <w:i w:val="false"/>
          <w:iCs w:val="false"/>
        </w:rPr>
        <w:t xml:space="preserve">--input takes a CSV file with exactly these columns:</w:t>
      </w:r>
    </w:p>
    <w:p>
      <w:pPr>
        <w:shd w:fill="F4F4F4" w:val="clear"/>
        <w:spacing w:after="0" w:before="60"/>
        <w:ind w:left="120"/>
      </w:pPr>
      <w:r>
        <w:rPr>
          <w:rFonts w:ascii="Consolas" w:cs="Consolas" w:eastAsia="Consolas" w:hAnsi="Consolas"/>
          <w:sz w:val="19"/>
          <w:szCs w:val="19"/>
        </w:rPr>
        <w:t xml:space="preserve">sample,R1,R2,condition</w:t>
      </w:r>
    </w:p>
    <w:p>
      <w:pPr>
        <w:shd w:fill="F4F4F4" w:val="clear"/>
        <w:spacing w:after="0" w:before="0"/>
        <w:ind w:left="120"/>
      </w:pPr>
      <w:r>
        <w:rPr>
          <w:rFonts w:ascii="Consolas" w:cs="Consolas" w:eastAsia="Consolas" w:hAnsi="Consolas"/>
          <w:sz w:val="19"/>
          <w:szCs w:val="19"/>
        </w:rPr>
        <w:t xml:space="preserve">ctrl_1,/data/ctrl_1_R1.fastq.gz,/data/ctrl_1_R2.fastq.gz,REF</w:t>
      </w:r>
    </w:p>
    <w:p>
      <w:pPr>
        <w:shd w:fill="F4F4F4" w:val="clear"/>
        <w:spacing w:after="0" w:before="0"/>
        <w:ind w:left="120"/>
      </w:pPr>
      <w:r>
        <w:rPr>
          <w:rFonts w:ascii="Consolas" w:cs="Consolas" w:eastAsia="Consolas" w:hAnsi="Consolas"/>
          <w:sz w:val="19"/>
          <w:szCs w:val="19"/>
        </w:rPr>
        <w:t xml:space="preserve">ctrl_2,/data/ctrl_2_R1.fastq.gz,/data/ctrl_2_R2.fastq.gz,REF</w:t>
      </w:r>
    </w:p>
    <w:p>
      <w:pPr>
        <w:shd w:fill="F4F4F4" w:val="clear"/>
        <w:spacing w:after="0" w:before="0"/>
        <w:ind w:left="120"/>
      </w:pPr>
      <w:r>
        <w:rPr>
          <w:rFonts w:ascii="Consolas" w:cs="Consolas" w:eastAsia="Consolas" w:hAnsi="Consolas"/>
          <w:sz w:val="19"/>
          <w:szCs w:val="19"/>
        </w:rPr>
        <w:t xml:space="preserve">treat_1,/data/treat_1_R1.fastq.gz,/data/treat_1_R2.fastq.gz,treatment</w:t>
      </w:r>
    </w:p>
    <w:p>
      <w:pPr>
        <w:shd w:fill="F4F4F4" w:val="clear"/>
        <w:spacing w:after="140" w:before="0"/>
        <w:ind w:left="120"/>
      </w:pPr>
      <w:r>
        <w:rPr>
          <w:rFonts w:ascii="Consolas" w:cs="Consolas" w:eastAsia="Consolas" w:hAnsi="Consolas"/>
          <w:sz w:val="19"/>
          <w:szCs w:val="19"/>
        </w:rPr>
        <w:t xml:space="preserve">treat_2,/data/treat_2_R1.fastq.gz,/data/treat_2_R2.fastq.gz,treatment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1F4E79" w:val="clear"/>
            <w:tcMar>
              <w:top w:type="dxa" w:w="60"/>
              <w:left w:type="dxa" w:w="110"/>
              <w:bottom w:type="dxa" w:w="60"/>
              <w:right w:type="dxa" w:w="110"/>
            </w:tcMar>
          </w:tcPr>
          <w:p>
            <w:r>
              <w:rPr>
                <w:b/>
                <w:bCs/>
                <w:color w:val="FFFFFF"/>
                <w:sz w:val="19"/>
                <w:szCs w:val="19"/>
              </w:rPr>
              <w:t xml:space="preserve">Column</w:t>
            </w:r>
          </w:p>
        </w:tc>
        <w:tc>
          <w:tcPr>
            <w:tcW w:type="dxa" w:w="78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sample</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Unique sample identifier; used to name all outputs</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R1</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Path to the R1 (or single-end) FASTQ file</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R2</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Path to the R2 FASTQ file; leave empty for single-end data</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condition</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Experimental group; drives the differential-expression design</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batch (optional)</w:t>
            </w:r>
          </w:p>
        </w:tc>
        <w:tc>
          <w:tcPr>
            <w:tcW w:type="dxa" w:w="7860"/>
            <w:shd w:fill="FFFFFF" w:val="clear"/>
            <w:tcMar>
              <w:top w:type="dxa" w:w="60"/>
              <w:left w:type="dxa" w:w="110"/>
              <w:bottom w:type="dxa" w:w="60"/>
              <w:right w:type="dxa" w:w="110"/>
            </w:tcMar>
          </w:tcPr>
          <w:p>
            <w:r>
              <w:rPr>
                <w:b w:val="false"/>
                <w:bCs w:val="false"/>
                <w:color w:val="000000"/>
                <w:sz w:val="19"/>
                <w:szCs w:val="19"/>
              </w:rPr>
              <w:t xml:space="preserve">Batch / covariate label; if present, the DESeq2/edgeR model becomes ~ batch + condition automatically</w:t>
            </w:r>
          </w:p>
        </w:tc>
      </w:tr>
    </w:tbl>
    <w:p>
      <w:pPr>
        <w:spacing w:after="80"/>
      </w:pPr>
    </w:p>
    <w:p>
      <w:pPr>
        <w:pBdr>
          <w:left w:val="single" w:color="E0A800" w:sz="18" w:space="6"/>
        </w:pBdr>
        <w:shd w:fill="FFF4CE" w:val="clear"/>
        <w:spacing w:after="140" w:before="80"/>
        <w:ind w:left="160"/>
      </w:pPr>
      <w:r>
        <w:rPr>
          <w:b/>
          <w:bCs/>
        </w:rPr>
        <w:t xml:space="preserve">Note  </w:t>
      </w:r>
      <w:r>
        <w:t xml:space="preserve">The baseline. One condition is the denominator of every contrast, so it decides which way every result points. It defaults to a condition literally named REF; if your control group is called something else, name it with --reference_level (section 6.6). If you name nothing and no group is called REF, conditions are ordered alphabetically, the direction is arbitrary, and each tool says so in the log.</w:t>
      </w:r>
    </w:p>
    <w:p>
      <w:pPr>
        <w:spacing w:after="120"/>
      </w:pPr>
      <w:r>
        <w:rPr>
          <w:b w:val="false"/>
          <w:bCs w:val="false"/>
          <w:i w:val="false"/>
          <w:iCs w:val="false"/>
        </w:rPr>
        <w:t xml:space="preserve">Single-end versus paired-end is detected automatically from whether R2 is present.</w:t>
      </w:r>
    </w:p>
    <w:p>
      <w:pPr>
        <w:pBdr>
          <w:left w:val="single" w:color="E0A800" w:sz="18" w:space="6"/>
        </w:pBdr>
        <w:shd w:fill="FFF4CE" w:val="clear"/>
        <w:spacing w:after="140" w:before="80"/>
        <w:ind w:left="160"/>
      </w:pPr>
      <w:r>
        <w:rPr>
          <w:b/>
          <w:bCs/>
        </w:rPr>
        <w:t xml:space="preserve">Note  </w:t>
      </w:r>
      <w:r>
        <w:t xml:space="preserve">Validation. The samplesheet is checked before any work starts; the run aborts immediately, listing every problem found, if a required column is missing, a sample id is empty or duplicated, an R1/R2 FASTQ path does not exist, or there are fewer than 2 conditions or fewer than 2 replicates in any condition. DESeq2 and edgeR need at least 2 conditions and 2 replicates per condition. When --stop_at preQC/postQC skips differential expression, the condition/replicate rules are reported as warnings instead of errors.</w:t>
      </w:r>
    </w:p>
    <w:p>
      <w:pPr>
        <w:pBdr>
          <w:left w:val="single" w:color="E0A800" w:sz="18" w:space="6"/>
        </w:pBdr>
        <w:shd w:fill="FFF4CE" w:val="clear"/>
        <w:spacing w:after="140" w:before="80"/>
        <w:ind w:left="160"/>
      </w:pPr>
      <w:r>
        <w:rPr>
          <w:b/>
          <w:bCs/>
        </w:rPr>
        <w:t xml:space="preserve">Note  </w:t>
      </w:r>
      <w:r>
        <w:t xml:space="preserve">Batch effects &amp; covariates. Extra samplesheet columns are kept and may be used as model covariates. A batch column is auto-detected and turns the gene-level DESeq2/edgeR model into ~ batch + condition; for other confounders, add the column(s) and pass an explicit formula with --design (for example --design "~ sex + batch + condition"). condition must always be included, as it is the term being contrasted.</w:t>
      </w:r>
    </w:p>
    <w:p>
      <w:pPr>
        <w:pStyle w:val="Heading2"/>
      </w:pPr>
      <w:r>
        <w:t xml:space="preserve">6.2 Worked scenarios</w:t>
      </w:r>
    </w:p>
    <w:p>
      <w:pPr>
        <w:spacing w:after="120"/>
      </w:pPr>
      <w:r>
        <w:rPr>
          <w:b/>
          <w:bCs/>
        </w:rPr>
        <w:t xml:space="preserve">Scenario A - comprehensive STAR run </w:t>
      </w:r>
      <w:r>
        <w:t xml:space="preserve">(fusions, splicing, DE and enrichment):</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--input samplesheet.csv \</w:t>
      </w:r>
    </w:p>
    <w:p>
      <w:pPr>
        <w:shd w:fill="F4F4F4" w:val="clear"/>
        <w:spacing w:after="0" w:before="0"/>
        <w:ind w:left="120"/>
      </w:pPr>
      <w:r>
        <w:rPr>
          <w:rFonts w:ascii="Consolas" w:cs="Consolas" w:eastAsia="Consolas" w:hAnsi="Consolas"/>
          <w:sz w:val="19"/>
          <w:szCs w:val="19"/>
        </w:rPr>
        <w:t xml:space="preserve">    --aligner star \</w:t>
      </w:r>
    </w:p>
    <w:p>
      <w:pPr>
        <w:shd w:fill="F4F4F4" w:val="clear"/>
        <w:spacing w:after="0" w:before="0"/>
        <w:ind w:left="120"/>
      </w:pPr>
      <w:r>
        <w:rPr>
          <w:rFonts w:ascii="Consolas" w:cs="Consolas" w:eastAsia="Consolas" w:hAnsi="Consolas"/>
          <w:sz w:val="19"/>
          <w:szCs w:val="19"/>
        </w:rPr>
        <w:t xml:space="preserve">    --star_index indices/human/star_index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0" w:before="0"/>
        <w:ind w:left="120"/>
      </w:pPr>
      <w:r>
        <w:rPr>
          <w:rFonts w:ascii="Consolas" w:cs="Consolas" w:eastAsia="Consolas" w:hAnsi="Consolas"/>
          <w:sz w:val="19"/>
          <w:szCs w:val="19"/>
        </w:rPr>
        <w:t xml:space="preserve">    --strandedness reverse \</w:t>
      </w:r>
    </w:p>
    <w:p>
      <w:pPr>
        <w:shd w:fill="F4F4F4" w:val="clear"/>
        <w:spacing w:after="0" w:before="0"/>
        <w:ind w:left="120"/>
      </w:pPr>
      <w:r>
        <w:rPr>
          <w:rFonts w:ascii="Consolas" w:cs="Consolas" w:eastAsia="Consolas" w:hAnsi="Consolas"/>
          <w:sz w:val="19"/>
          <w:szCs w:val="19"/>
        </w:rPr>
        <w:t xml:space="preserve">    --ctat_lib /refs/CTAT_lib/ctat_genome_lib_build_dir \</w:t>
      </w:r>
    </w:p>
    <w:p>
      <w:pPr>
        <w:shd w:fill="F4F4F4" w:val="clear"/>
        <w:spacing w:after="0" w:before="0"/>
        <w:ind w:left="120"/>
      </w:pPr>
      <w:r>
        <w:rPr>
          <w:rFonts w:ascii="Consolas" w:cs="Consolas" w:eastAsia="Consolas" w:hAnsi="Consolas"/>
          <w:sz w:val="19"/>
          <w:szCs w:val="19"/>
        </w:rPr>
        <w:t xml:space="preserve">    --read_length 150 \</w:t>
      </w:r>
    </w:p>
    <w:p>
      <w:pPr>
        <w:shd w:fill="F4F4F4" w:val="clear"/>
        <w:spacing w:after="0" w:before="0"/>
        <w:ind w:left="120"/>
      </w:pPr>
      <w:r>
        <w:rPr>
          <w:rFonts w:ascii="Consolas" w:cs="Consolas" w:eastAsia="Consolas" w:hAnsi="Consolas"/>
          <w:sz w:val="19"/>
          <w:szCs w:val="19"/>
        </w:rPr>
        <w:t xml:space="preserve">    --diffsplice \</w:t>
      </w:r>
    </w:p>
    <w:p>
      <w:pPr>
        <w:shd w:fill="F4F4F4" w:val="clear"/>
        <w:spacing w:after="0" w:before="0"/>
        <w:ind w:left="120"/>
      </w:pPr>
      <w:r>
        <w:rPr>
          <w:rFonts w:ascii="Consolas" w:cs="Consolas" w:eastAsia="Consolas" w:hAnsi="Consolas"/>
          <w:sz w:val="19"/>
          <w:szCs w:val="19"/>
        </w:rPr>
        <w:t xml:space="preserve">    --gmt references/human/gmt/c2_kegg.gmt \</w:t>
      </w:r>
    </w:p>
    <w:p>
      <w:pPr>
        <w:shd w:fill="F4F4F4" w:val="clear"/>
        <w:spacing w:after="0" w:before="0"/>
        <w:ind w:left="120"/>
      </w:pPr>
      <w:r>
        <w:rPr>
          <w:rFonts w:ascii="Consolas" w:cs="Consolas" w:eastAsia="Consolas" w:hAnsi="Consolas"/>
          <w:sz w:val="19"/>
          <w:szCs w:val="19"/>
        </w:rPr>
        <w:t xml:space="preserve">    --organism hsapiens \</w:t>
      </w:r>
    </w:p>
    <w:p>
      <w:pPr>
        <w:shd w:fill="F4F4F4" w:val="clear"/>
        <w:spacing w:after="140" w:before="0"/>
        <w:ind w:left="120"/>
      </w:pPr>
      <w:r>
        <w:rPr>
          <w:rFonts w:ascii="Consolas" w:cs="Consolas" w:eastAsia="Consolas" w:hAnsi="Consolas"/>
          <w:sz w:val="19"/>
          <w:szCs w:val="19"/>
        </w:rPr>
        <w:t xml:space="preserve">    --outdir results -profile docker</w:t>
      </w:r>
    </w:p>
    <w:p>
      <w:pPr>
        <w:spacing w:after="120"/>
      </w:pPr>
      <w:r>
        <w:rPr>
          <w:b/>
          <w:bCs/>
        </w:rPr>
        <w:t xml:space="preserve">Scenario B - Salmon transcript-level analysis (isoform switching + DTU + diffSplice):</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--input samplesheet.csv \</w:t>
      </w:r>
    </w:p>
    <w:p>
      <w:pPr>
        <w:shd w:fill="F4F4F4" w:val="clear"/>
        <w:spacing w:after="0" w:before="0"/>
        <w:ind w:left="120"/>
      </w:pPr>
      <w:r>
        <w:rPr>
          <w:rFonts w:ascii="Consolas" w:cs="Consolas" w:eastAsia="Consolas" w:hAnsi="Consolas"/>
          <w:sz w:val="19"/>
          <w:szCs w:val="19"/>
        </w:rPr>
        <w:t xml:space="preserve">    --aligner salmon \</w:t>
      </w:r>
    </w:p>
    <w:p>
      <w:pPr>
        <w:shd w:fill="F4F4F4" w:val="clear"/>
        <w:spacing w:after="0" w:before="0"/>
        <w:ind w:left="120"/>
      </w:pPr>
      <w:r>
        <w:rPr>
          <w:rFonts w:ascii="Consolas" w:cs="Consolas" w:eastAsia="Consolas" w:hAnsi="Consolas"/>
          <w:sz w:val="19"/>
          <w:szCs w:val="19"/>
        </w:rPr>
        <w:t xml:space="preserve">    --salmon_index indices/human/salmon_index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0" w:before="0"/>
        <w:ind w:left="120"/>
      </w:pPr>
      <w:r>
        <w:rPr>
          <w:rFonts w:ascii="Consolas" w:cs="Consolas" w:eastAsia="Consolas" w:hAnsi="Consolas"/>
          <w:sz w:val="19"/>
          <w:szCs w:val="19"/>
        </w:rPr>
        <w:t xml:space="preserve">    --transcript_fasta references/human/transcripts.cdna.all.fa.gz \</w:t>
      </w:r>
    </w:p>
    <w:p>
      <w:pPr>
        <w:shd w:fill="F4F4F4" w:val="clear"/>
        <w:spacing w:after="0" w:before="0"/>
        <w:ind w:left="120"/>
      </w:pPr>
      <w:r>
        <w:rPr>
          <w:rFonts w:ascii="Consolas" w:cs="Consolas" w:eastAsia="Consolas" w:hAnsi="Consolas"/>
          <w:sz w:val="19"/>
          <w:szCs w:val="19"/>
        </w:rPr>
        <w:t xml:space="preserve">    --isoform_switch \</w:t>
      </w:r>
    </w:p>
    <w:p>
      <w:pPr>
        <w:shd w:fill="F4F4F4" w:val="clear"/>
        <w:spacing w:after="0" w:before="0"/>
        <w:ind w:left="120"/>
      </w:pPr>
      <w:r>
        <w:rPr>
          <w:rFonts w:ascii="Consolas" w:cs="Consolas" w:eastAsia="Consolas" w:hAnsi="Consolas"/>
          <w:sz w:val="19"/>
          <w:szCs w:val="19"/>
        </w:rPr>
        <w:t xml:space="preserve">    --dtu \</w:t>
      </w:r>
    </w:p>
    <w:p>
      <w:pPr>
        <w:shd w:fill="F4F4F4" w:val="clear"/>
        <w:spacing w:after="0" w:before="0"/>
        <w:ind w:left="120"/>
      </w:pPr>
      <w:r>
        <w:rPr>
          <w:rFonts w:ascii="Consolas" w:cs="Consolas" w:eastAsia="Consolas" w:hAnsi="Consolas"/>
          <w:sz w:val="19"/>
          <w:szCs w:val="19"/>
        </w:rPr>
        <w:t xml:space="preserve">    --diffsplice \</w:t>
      </w:r>
    </w:p>
    <w:p>
      <w:pPr>
        <w:shd w:fill="F4F4F4" w:val="clear"/>
        <w:spacing w:after="140" w:before="0"/>
        <w:ind w:left="120"/>
      </w:pPr>
      <w:r>
        <w:rPr>
          <w:rFonts w:ascii="Consolas" w:cs="Consolas" w:eastAsia="Consolas" w:hAnsi="Consolas"/>
          <w:sz w:val="19"/>
          <w:szCs w:val="19"/>
        </w:rPr>
        <w:t xml:space="preserve">    --outdir results -profile docker</w:t>
      </w:r>
    </w:p>
    <w:p>
      <w:pPr>
        <w:spacing w:after="120"/>
      </w:pPr>
      <w:r>
        <w:rPr>
          <w:b/>
          <w:bCs/>
        </w:rPr>
        <w:t xml:space="preserve">Scenario C - standard HISAT2 run:</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--input samplesheet.csv \</w:t>
      </w:r>
    </w:p>
    <w:p>
      <w:pPr>
        <w:shd w:fill="F4F4F4" w:val="clear"/>
        <w:spacing w:after="0" w:before="0"/>
        <w:ind w:left="120"/>
      </w:pPr>
      <w:r>
        <w:rPr>
          <w:rFonts w:ascii="Consolas" w:cs="Consolas" w:eastAsia="Consolas" w:hAnsi="Consolas"/>
          <w:sz w:val="19"/>
          <w:szCs w:val="19"/>
        </w:rPr>
        <w:t xml:space="preserve">    --aligner hisat2 \</w:t>
      </w:r>
    </w:p>
    <w:p>
      <w:pPr>
        <w:shd w:fill="F4F4F4" w:val="clear"/>
        <w:spacing w:after="0" w:before="0"/>
        <w:ind w:left="120"/>
      </w:pPr>
      <w:r>
        <w:rPr>
          <w:rFonts w:ascii="Consolas" w:cs="Consolas" w:eastAsia="Consolas" w:hAnsi="Consolas"/>
          <w:sz w:val="19"/>
          <w:szCs w:val="19"/>
        </w:rPr>
        <w:t xml:space="preserve">    --hisat2_index indices/human/hisat2_index \</w:t>
      </w:r>
    </w:p>
    <w:p>
      <w:pPr>
        <w:shd w:fill="F4F4F4" w:val="clear"/>
        <w:spacing w:after="0" w:before="0"/>
        <w:ind w:left="120"/>
      </w:pPr>
      <w:r>
        <w:rPr>
          <w:rFonts w:ascii="Consolas" w:cs="Consolas" w:eastAsia="Consolas" w:hAnsi="Consolas"/>
          <w:sz w:val="19"/>
          <w:szCs w:val="19"/>
        </w:rPr>
        <w:t xml:space="preserve">    --gtf references/human/annotation.gtf.gz \</w:t>
      </w:r>
    </w:p>
    <w:p>
      <w:pPr>
        <w:shd w:fill="F4F4F4" w:val="clear"/>
        <w:spacing w:after="0" w:before="0"/>
        <w:ind w:left="120"/>
      </w:pPr>
      <w:r>
        <w:rPr>
          <w:rFonts w:ascii="Consolas" w:cs="Consolas" w:eastAsia="Consolas" w:hAnsi="Consolas"/>
          <w:sz w:val="19"/>
          <w:szCs w:val="19"/>
        </w:rPr>
        <w:t xml:space="preserve">    --strandedness reverse \</w:t>
      </w:r>
    </w:p>
    <w:p>
      <w:pPr>
        <w:shd w:fill="F4F4F4" w:val="clear"/>
        <w:spacing w:after="140" w:before="0"/>
        <w:ind w:left="120"/>
      </w:pPr>
      <w:r>
        <w:rPr>
          <w:rFonts w:ascii="Consolas" w:cs="Consolas" w:eastAsia="Consolas" w:hAnsi="Consolas"/>
          <w:sz w:val="19"/>
          <w:szCs w:val="19"/>
        </w:rPr>
        <w:t xml:space="preserve">    --outdir results -profile docker</w:t>
      </w:r>
    </w:p>
    <w:p>
      <w:pPr>
        <w:pBdr>
          <w:left w:val="single" w:color="E0A800" w:sz="18" w:space="6"/>
        </w:pBdr>
        <w:shd w:fill="FFF4CE" w:val="clear"/>
        <w:spacing w:after="140" w:before="80"/>
        <w:ind w:left="160"/>
      </w:pPr>
      <w:r>
        <w:rPr>
          <w:b/>
          <w:bCs/>
        </w:rPr>
        <w:t xml:space="preserve">Note  </w:t>
      </w:r>
      <w:r>
        <w:t xml:space="preserve">Differential expression runs with every aligner. STAR/HISAT2 feed DESeq2/edgeR from the featureCounts gene matrix; Salmon/Kallisto feed them via tximport, which summarises transcript-level quantification to gene level (it needs --gtf for the transcript-to-gene map). Salmon additionally supports isoform-switch analysis. The --dtu flag adds a DEXSeq differential transcript usage test on the Salmon/Kallisto route, flagging genes whose isoform proportions shift between conditions; it is opt-in because DEXSeq is compute-heavy. The --diffsplice flag adds an edgeR diffSpliceDGE test: exon-level usage for STAR/HISAT2 and transcript-level usage for Salmon/Kallisto, each against the gene-level fold change (it also needs --gtf).</w:t>
      </w:r>
    </w:p>
    <w:p>
      <w:pPr>
        <w:pStyle w:val="Heading2"/>
      </w:pPr>
      <w:r>
        <w:t xml:space="preserve">6.3 Strandedness</w:t>
      </w:r>
    </w:p>
    <w:p>
      <w:pPr>
        <w:spacing w:after="120"/>
      </w:pPr>
      <w:r>
        <w:rPr>
          <w:b w:val="false"/>
          <w:bCs w:val="false"/>
          <w:i w:val="false"/>
          <w:iCs w:val="false"/>
        </w:rPr>
        <w:t xml:space="preserve">--strandedness defaults to 'auto'. For the genome aligners, RSeQC infer_experiment measures the strandedness of every sample and the verdict is fed straight into that sample's featureCounts run - you do not need to know the library type in advance; each verdict is also written to results/rseqc/&lt;sample&gt;.strandedness.txt. Set --strandedness explicitly (unstranded, forward, or reverse) only to override the inference; a wrong setting roughly halves your gene counts. Salmon detects library type itself via --libType A, so it needs no strandedness setting. Kallisto produces no BAM for RSeQC to inspect and cannot auto-detect: with auto it runs library-type-agnostic, so for a stranded kallisto library pass --strandedness forward or reverse explicitly - the value maps to kallisto's --fr-stranded / --rf-stranded flag.</w:t>
      </w:r>
    </w:p>
    <w:p>
      <w:pPr>
        <w:pStyle w:val="Heading2"/>
      </w:pPr>
      <w:r>
        <w:t xml:space="preserve">6.4 Staging with --stop_at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4E79" w:val="clear"/>
            <w:tcMar>
              <w:top w:type="dxa" w:w="60"/>
              <w:left w:type="dxa" w:w="110"/>
              <w:bottom w:type="dxa" w:w="60"/>
              <w:right w:type="dxa" w:w="110"/>
            </w:tcMar>
          </w:tcPr>
          <w:p>
            <w:r>
              <w:rPr>
                <w:b/>
                <w:bCs/>
                <w:color w:val="FFFFFF"/>
                <w:sz w:val="19"/>
                <w:szCs w:val="19"/>
              </w:rPr>
              <w:t xml:space="preserve">Value</w:t>
            </w:r>
          </w:p>
        </w:tc>
        <w:tc>
          <w:tcPr>
            <w:tcW w:type="dxa" w:w="7660"/>
            <w:shd w:fill="1F4E79" w:val="clear"/>
            <w:tcMar>
              <w:top w:type="dxa" w:w="60"/>
              <w:left w:type="dxa" w:w="110"/>
              <w:bottom w:type="dxa" w:w="60"/>
              <w:right w:type="dxa" w:w="110"/>
            </w:tcMar>
          </w:tcPr>
          <w:p>
            <w:r>
              <w:rPr>
                <w:b/>
                <w:bCs/>
                <w:color w:val="FFFFFF"/>
                <w:sz w:val="19"/>
                <w:szCs w:val="19"/>
              </w:rPr>
              <w:t xml:space="preserve">Pipeline stops after</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preQC</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FastQC and fastp trimming</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postQC</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Alignment, BAM indexing, RSeQC, BigWig tracks</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DE</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featureCounts, DESeq2, edgeR</w:t>
            </w:r>
          </w:p>
        </w:tc>
      </w:tr>
      <w:tr>
        <w:trPr>
          <w:tblHeader w:val="false"/>
        </w:trPr>
        <w:tc>
          <w:tcPr>
            <w:tcW w:type="dxa" w:w="1700"/>
            <w:shd w:fill="FFFFFF" w:val="clear"/>
            <w:tcMar>
              <w:top w:type="dxa" w:w="60"/>
              <w:left w:type="dxa" w:w="110"/>
              <w:bottom w:type="dxa" w:w="60"/>
              <w:right w:type="dxa" w:w="110"/>
            </w:tcMar>
          </w:tcPr>
          <w:p>
            <w:r>
              <w:rPr>
                <w:b w:val="false"/>
                <w:bCs w:val="false"/>
                <w:color w:val="000000"/>
                <w:sz w:val="19"/>
                <w:szCs w:val="19"/>
              </w:rPr>
              <w:t xml:space="preserve">GSEA (or unset)</w:t>
            </w:r>
          </w:p>
        </w:tc>
        <w:tc>
          <w:tcPr>
            <w:tcW w:type="dxa" w:w="7660"/>
            <w:shd w:fill="FFFFFF" w:val="clear"/>
            <w:tcMar>
              <w:top w:type="dxa" w:w="60"/>
              <w:left w:type="dxa" w:w="110"/>
              <w:bottom w:type="dxa" w:w="60"/>
              <w:right w:type="dxa" w:w="110"/>
            </w:tcMar>
          </w:tcPr>
          <w:p>
            <w:r>
              <w:rPr>
                <w:b w:val="false"/>
                <w:bCs w:val="false"/>
                <w:color w:val="000000"/>
                <w:sz w:val="19"/>
                <w:szCs w:val="19"/>
              </w:rPr>
              <w:t xml:space="preserve">Everything, including enrichment, fusions and splicing</w:t>
            </w:r>
          </w:p>
        </w:tc>
      </w:tr>
    </w:tbl>
    <w:p>
      <w:pPr>
        <w:spacing w:after="80"/>
      </w:pPr>
    </w:p>
    <w:p>
      <w:pPr>
        <w:pStyle w:val="Heading2"/>
      </w:pPr>
      <w:r>
        <w:t xml:space="preserve">6.5 Starting from a count matrix (--counts)</w:t>
      </w:r>
    </w:p>
    <w:p>
      <w:pPr>
        <w:spacing w:after="120"/>
      </w:pPr>
      <w:r>
        <w:rPr>
          <w:b w:val="false"/>
          <w:bCs w:val="false"/>
          <w:i w:val="false"/>
          <w:iCs w:val="false"/>
        </w:rPr>
        <w:t xml:space="preserve">If you already have a gene count matrix - from a previous run, a collaborator, or a public dataset such as a GEO supplementary file - pass it with --counts to skip read QC, alignment and quantification and enter directly at differential expression. DESeq2, edgeR, GSEA, gProfiler and the analysis report all run as normal.</w:t>
      </w:r>
    </w:p>
    <w:p>
      <w:pPr>
        <w:shd w:fill="F4F4F4" w:val="clear"/>
        <w:spacing w:after="0" w:before="60"/>
        <w:ind w:left="120"/>
      </w:pPr>
      <w:r>
        <w:rPr>
          <w:rFonts w:ascii="Consolas" w:cs="Consolas" w:eastAsia="Consolas" w:hAnsi="Consolas"/>
          <w:sz w:val="19"/>
          <w:szCs w:val="19"/>
        </w:rPr>
        <w:t xml:space="preserve">nextflow run main.nf \</w:t>
      </w:r>
    </w:p>
    <w:p>
      <w:pPr>
        <w:shd w:fill="F4F4F4" w:val="clear"/>
        <w:spacing w:after="0" w:before="0"/>
        <w:ind w:left="120"/>
      </w:pPr>
      <w:r>
        <w:rPr>
          <w:rFonts w:ascii="Consolas" w:cs="Consolas" w:eastAsia="Consolas" w:hAnsi="Consolas"/>
          <w:sz w:val="19"/>
          <w:szCs w:val="19"/>
        </w:rPr>
        <w:t xml:space="preserve">    --input samplesheet.csv \</w:t>
      </w:r>
    </w:p>
    <w:p>
      <w:pPr>
        <w:shd w:fill="F4F4F4" w:val="clear"/>
        <w:spacing w:after="0" w:before="0"/>
        <w:ind w:left="120"/>
      </w:pPr>
      <w:r>
        <w:rPr>
          <w:rFonts w:ascii="Consolas" w:cs="Consolas" w:eastAsia="Consolas" w:hAnsi="Consolas"/>
          <w:sz w:val="19"/>
          <w:szCs w:val="19"/>
        </w:rPr>
        <w:t xml:space="preserve">    --counts counts.tsv \</w:t>
      </w:r>
    </w:p>
    <w:p>
      <w:pPr>
        <w:shd w:fill="F4F4F4" w:val="clear"/>
        <w:spacing w:after="0" w:before="0"/>
        <w:ind w:left="120"/>
      </w:pPr>
      <w:r>
        <w:rPr>
          <w:rFonts w:ascii="Consolas" w:cs="Consolas" w:eastAsia="Consolas" w:hAnsi="Consolas"/>
          <w:sz w:val="19"/>
          <w:szCs w:val="19"/>
        </w:rPr>
        <w:t xml:space="preserve">    --gtf references/human/annotation.gtf \</w:t>
      </w:r>
    </w:p>
    <w:p>
      <w:pPr>
        <w:shd w:fill="F4F4F4" w:val="clear"/>
        <w:spacing w:after="140" w:before="0"/>
        <w:ind w:left="120"/>
      </w:pPr>
      <w:r>
        <w:rPr>
          <w:rFonts w:ascii="Consolas" w:cs="Consolas" w:eastAsia="Consolas" w:hAnsi="Consolas"/>
          <w:sz w:val="19"/>
          <w:szCs w:val="19"/>
        </w:rPr>
        <w:t xml:space="preserve">    -profile docker</w:t>
      </w:r>
    </w:p>
    <w:p>
      <w:pPr>
        <w:spacing w:after="120"/>
      </w:pPr>
      <w:r>
        <w:rPr>
          <w:b w:val="false"/>
          <w:bCs w:val="false"/>
          <w:i w:val="false"/>
          <w:iCs w:val="false"/>
        </w:rPr>
        <w:t xml:space="preserve">--input is still required: the samplesheet supplies condition (and any batch / --design covariates), but with --counts the R1/R2 columns are optional and ignored, so a minimal samplesheet is just the sample and condition columns. --gtf is required: results are annotated with gene symbols and biotypes rather than bare gene IDs, and the run reports the fraction of matrix genes it could annotate, aborting if that fraction is implausibly low (a sign the matrix and the GTF are different genome builds).</w:t>
      </w:r>
    </w:p>
    <w:p>
      <w:pPr>
        <w:spacing w:after="120"/>
      </w:pPr>
      <w:r>
        <w:rPr>
          <w:b w:val="false"/>
          <w:bCs w:val="false"/>
          <w:i w:val="false"/>
          <w:iCs w:val="false"/>
        </w:rPr>
        <w:t xml:space="preserve">Two matrix layouts are accepted and auto-detected: a featureCounts wide table (the Geneid, Chr, Start, End, Strand and Length annotation columns are dropped and the rest are samples) or a plain matrix (first column gene IDs, every other column a sample; tab- or comma-delimited). Every samplesheet sample must map to exactly one column - matched by name or path token, so a numeric id like 100 will not accidentally match 1100 - and columns are reordered to the samplesheet, so their order in the matrix does not matter.</w:t>
      </w:r>
    </w:p>
    <w:p>
      <w:pPr>
        <w:spacing w:after="120"/>
      </w:pPr>
      <w:r>
        <w:rPr>
          <w:b w:val="false"/>
          <w:bCs w:val="false"/>
          <w:i w:val="false"/>
          <w:iCs w:val="false"/>
        </w:rPr>
        <w:t xml:space="preserve">Reading tolerates common GEO quirks: the matrix may be gzipped (.tsv.gz / .csv.gz) and is read directly; the delimiter is auto-detected; a gene-ID column with no header (a leading tab or comma before the sample names) is handled correctly; and extra annotation columns such as a gene-symbol or length column are ignored as long as every samplesheet sample still maps to a column.</w:t>
      </w:r>
    </w:p>
    <w:p>
      <w:pPr>
        <w:pBdr>
          <w:left w:val="single" w:color="E0A800" w:sz="18" w:space="6"/>
        </w:pBdr>
        <w:shd w:fill="FFF4CE" w:val="clear"/>
        <w:spacing w:after="140" w:before="80"/>
        <w:ind w:left="160"/>
      </w:pPr>
      <w:r>
        <w:rPr>
          <w:b/>
          <w:bCs/>
        </w:rPr>
        <w:t xml:space="preserve">Note  </w:t>
      </w:r>
      <w:r>
        <w:t xml:space="preserve">Three kinds of input are rejected up front, each with a clear message. (1) Normalised values - TPM, FPKM/RPKM, or DESeq2-/CPM-normalised matrices: DESeq2 and edgeR need raw integer counts, so any non-integer matrix is rejected; obtain the raw counts instead. (2) Salmon/Kallisto estimated counts as a flat matrix: also non-integer, and they lose the transcript-length offsets that length-aware DE needs - re-run those datasets through the pseudo-aligner (--aligner salmon or kallisto), which imports them correctly via tximport. (3) Matrices keyed by Entrez or RefSeq IDs (e.g. 7157, NM_000546): a GTF is keyed by Ensembl/GENCODE gene IDs and symbols, so these cannot be annotated and fail the annotation-match check - map the IDs to Ensembl gene IDs or symbols first. Splicing, DTU, isoform-switch and fusion analyses also need reads or BAMs and cannot run from a count matrix.</w:t>
      </w:r>
    </w:p>
    <w:p>
      <w:pPr>
        <w:spacing w:after="80"/>
      </w:pPr>
    </w:p>
    <w:p>
      <w:pPr>
        <w:pStyle w:val="Heading2"/>
      </w:pPr>
      <w:r>
        <w:t xml:space="preserve">6.6 Which condition results are measured against (--reference_level)</w:t>
      </w:r>
    </w:p>
    <w:p>
      <w:pPr>
        <w:spacing w:after="120"/>
      </w:pPr>
      <w:r>
        <w:rPr>
          <w:b w:val="false"/>
          <w:bCs w:val="false"/>
          <w:i w:val="false"/>
          <w:iCs w:val="false"/>
        </w:rPr>
        <w:t xml:space="preserve">One condition is the baseline: the denominator of every contrast. It decides which way results point, so it is worth being deliberate about. It defaults to a condition literally named REF. If your control group is called something else, name it:</w:t>
      </w:r>
    </w:p>
    <w:p>
      <w:pPr>
        <w:shd w:fill="F4F4F4" w:val="clear"/>
        <w:spacing w:after="0" w:before="60"/>
        <w:ind w:left="120"/>
      </w:pPr>
      <w:r>
        <w:rPr>
          <w:rFonts w:ascii="Consolas" w:cs="Consolas" w:eastAsia="Consolas" w:hAnsi="Consolas"/>
          <w:sz w:val="19"/>
          <w:szCs w:val="19"/>
        </w:rPr>
        <w:t xml:space="preserve">nextflow run main.nf --input samplesheet.csv --aligner star \</w:t>
      </w:r>
    </w:p>
    <w:p>
      <w:pPr>
        <w:shd w:fill="F4F4F4" w:val="clear"/>
        <w:spacing w:after="0" w:before="0"/>
        <w:ind w:left="120"/>
      </w:pPr>
      <w:r>
        <w:rPr>
          <w:rFonts w:ascii="Consolas" w:cs="Consolas" w:eastAsia="Consolas" w:hAnsi="Consolas"/>
          <w:sz w:val="19"/>
          <w:szCs w:val="19"/>
        </w:rPr>
        <w:t xml:space="preserve">    --star_index /path/to/star_index --gtf /path/to/genes.gtf \</w:t>
      </w:r>
    </w:p>
    <w:p>
      <w:pPr>
        <w:shd w:fill="F4F4F4" w:val="clear"/>
        <w:spacing w:after="0" w:before="0"/>
        <w:ind w:left="120"/>
      </w:pPr>
      <w:r>
        <w:rPr>
          <w:rFonts w:ascii="Consolas" w:cs="Consolas" w:eastAsia="Consolas" w:hAnsi="Consolas"/>
          <w:sz w:val="19"/>
          <w:szCs w:val="19"/>
        </w:rPr>
        <w:t xml:space="preserve">    --reference_level Untreated \</w:t>
      </w:r>
    </w:p>
    <w:p>
      <w:pPr>
        <w:shd w:fill="F4F4F4" w:val="clear"/>
        <w:spacing w:after="140" w:before="0"/>
        <w:ind w:left="120"/>
      </w:pPr>
      <w:r>
        <w:rPr>
          <w:rFonts w:ascii="Consolas" w:cs="Consolas" w:eastAsia="Consolas" w:hAnsi="Consolas"/>
          <w:sz w:val="19"/>
          <w:szCs w:val="19"/>
        </w:rPr>
        <w:t xml:space="preserve">    --outdir results -profile docker</w:t>
      </w:r>
    </w:p>
    <w:p>
      <w:pPr>
        <w:spacing w:after="120"/>
      </w:pPr>
      <w:r>
        <w:rPr>
          <w:b w:val="false"/>
          <w:bCs w:val="false"/>
          <w:i w:val="false"/>
          <w:iCs w:val="false"/>
        </w:rPr>
        <w:t xml:space="preserve">With --reference_level Untreated and a Treated group, every result is named Treated_vs_Untreated, and a positive value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4E79" w:val="clear"/>
            <w:tcMar>
              <w:top w:type="dxa" w:w="60"/>
              <w:left w:type="dxa" w:w="110"/>
              <w:bottom w:type="dxa" w:w="60"/>
              <w:right w:type="dxa" w:w="110"/>
            </w:tcMar>
          </w:tcPr>
          <w:p>
            <w:r>
              <w:rPr>
                <w:b/>
                <w:bCs/>
                <w:color w:val="FFFFFF"/>
                <w:sz w:val="19"/>
                <w:szCs w:val="19"/>
              </w:rPr>
              <w:t xml:space="preserve">Result</w:t>
            </w:r>
          </w:p>
        </w:tc>
        <w:tc>
          <w:tcPr>
            <w:tcW w:type="dxa" w:w="5160"/>
            <w:shd w:fill="1F4E79" w:val="clear"/>
            <w:tcMar>
              <w:top w:type="dxa" w:w="60"/>
              <w:left w:type="dxa" w:w="110"/>
              <w:bottom w:type="dxa" w:w="60"/>
              <w:right w:type="dxa" w:w="110"/>
            </w:tcMar>
          </w:tcPr>
          <w:p>
            <w:r>
              <w:rPr>
                <w:b/>
                <w:bCs/>
                <w:color w:val="FFFFFF"/>
                <w:sz w:val="19"/>
                <w:szCs w:val="19"/>
              </w:rPr>
              <w:t xml:space="preserve">Positive value means</w:t>
            </w:r>
          </w:p>
        </w:tc>
      </w:tr>
      <w:tr>
        <w:trPr>
          <w:tblHeader w:val="false"/>
        </w:trPr>
        <w:tc>
          <w:tcPr>
            <w:tcW w:type="dxa" w:w="4200"/>
            <w:shd w:fill="FFFFFF" w:val="clear"/>
            <w:tcMar>
              <w:top w:type="dxa" w:w="60"/>
              <w:left w:type="dxa" w:w="110"/>
              <w:bottom w:type="dxa" w:w="60"/>
              <w:right w:type="dxa" w:w="110"/>
            </w:tcMar>
          </w:tcPr>
          <w:p>
            <w:r>
              <w:rPr>
                <w:b w:val="false"/>
                <w:bCs w:val="false"/>
                <w:color w:val="000000"/>
                <w:sz w:val="19"/>
                <w:szCs w:val="19"/>
              </w:rPr>
              <w:t xml:space="preserve">log2FoldChange (DESeq2), logFC (edgeR)</w:t>
            </w:r>
          </w:p>
        </w:tc>
        <w:tc>
          <w:tcPr>
            <w:tcW w:type="dxa" w:w="5160"/>
            <w:shd w:fill="FFFFFF" w:val="clear"/>
            <w:tcMar>
              <w:top w:type="dxa" w:w="60"/>
              <w:left w:type="dxa" w:w="110"/>
              <w:bottom w:type="dxa" w:w="60"/>
              <w:right w:type="dxa" w:w="110"/>
            </w:tcMar>
          </w:tcPr>
          <w:p>
            <w:r>
              <w:rPr>
                <w:b w:val="false"/>
                <w:bCs w:val="false"/>
                <w:color w:val="000000"/>
                <w:sz w:val="19"/>
                <w:szCs w:val="19"/>
              </w:rPr>
              <w:t xml:space="preserve">Higher expression in Treated</w:t>
            </w:r>
          </w:p>
        </w:tc>
      </w:tr>
      <w:tr>
        <w:trPr>
          <w:tblHeader w:val="false"/>
        </w:trPr>
        <w:tc>
          <w:tcPr>
            <w:tcW w:type="dxa" w:w="4200"/>
            <w:shd w:fill="FFFFFF" w:val="clear"/>
            <w:tcMar>
              <w:top w:type="dxa" w:w="60"/>
              <w:left w:type="dxa" w:w="110"/>
              <w:bottom w:type="dxa" w:w="60"/>
              <w:right w:type="dxa" w:w="110"/>
            </w:tcMar>
          </w:tcPr>
          <w:p>
            <w:r>
              <w:rPr>
                <w:b w:val="false"/>
                <w:bCs w:val="false"/>
                <w:color w:val="000000"/>
                <w:sz w:val="19"/>
                <w:szCs w:val="19"/>
              </w:rPr>
              <w:t xml:space="preserve">IncLevelDifference (rMATS)</w:t>
            </w:r>
          </w:p>
        </w:tc>
        <w:tc>
          <w:tcPr>
            <w:tcW w:type="dxa" w:w="5160"/>
            <w:shd w:fill="FFFFFF" w:val="clear"/>
            <w:tcMar>
              <w:top w:type="dxa" w:w="60"/>
              <w:left w:type="dxa" w:w="110"/>
              <w:bottom w:type="dxa" w:w="60"/>
              <w:right w:type="dxa" w:w="110"/>
            </w:tcMar>
          </w:tcPr>
          <w:p>
            <w:r>
              <w:rPr>
                <w:b w:val="false"/>
                <w:bCs w:val="false"/>
                <w:color w:val="000000"/>
                <w:sz w:val="19"/>
                <w:szCs w:val="19"/>
              </w:rPr>
              <w:t xml:space="preserve">Higher inclusion in Treated</w:t>
            </w:r>
          </w:p>
        </w:tc>
      </w:tr>
    </w:tbl>
    <w:p>
      <w:pPr>
        <w:spacing w:after="80"/>
      </w:pPr>
    </w:p>
    <w:p>
      <w:pPr>
        <w:spacing w:after="120"/>
      </w:pPr>
      <w:r>
        <w:rPr>
          <w:b w:val="false"/>
          <w:bCs w:val="false"/>
          <w:i w:val="false"/>
          <w:iCs w:val="false"/>
        </w:rPr>
        <w:t xml:space="preserve">The setting reaches DESeq2, edgeR, rMATS, DEXSeq and edgeR diffSplice, so every contrast in the run is oriented the same way. It is recorded in pipeline_info/run_manifest.json and shown as Baseline in the analysis report's Run overview, so a reader of the report alone can tell what the numbers are relative to.</w:t>
      </w:r>
    </w:p>
    <w:p>
      <w:pPr>
        <w:pBdr>
          <w:left w:val="single" w:color="E0A800" w:sz="18" w:space="6"/>
        </w:pBdr>
        <w:shd w:fill="FFF4CE" w:val="clear"/>
        <w:spacing w:after="140" w:before="80"/>
        <w:ind w:left="160"/>
      </w:pPr>
      <w:r>
        <w:rPr>
          <w:b/>
          <w:bCs/>
        </w:rPr>
        <w:t xml:space="preserve">Note  </w:t>
      </w:r>
      <w:r>
        <w:t xml:space="preserve">A level you name must exist in the samplesheet. The run stops at launch if it does not, listing the conditions that were found. A mistyped baseline would otherwise produce a complete, plausible set of results oriented against the wrong condition, with nothing to say so.</w:t>
      </w:r>
    </w:p>
    <w:p>
      <w:pPr>
        <w:pStyle w:val="Heading2"/>
      </w:pPr>
      <w:r>
        <w:t xml:space="preserve">6.7 Profiles, clusters and running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Profile</w:t>
            </w:r>
          </w:p>
        </w:tc>
        <w:tc>
          <w:tcPr>
            <w:tcW w:type="dxa" w:w="7160"/>
            <w:shd w:fill="1F4E79" w:val="clear"/>
            <w:tcMar>
              <w:top w:type="dxa" w:w="60"/>
              <w:left w:type="dxa" w:w="110"/>
              <w:bottom w:type="dxa" w:w="60"/>
              <w:right w:type="dxa" w:w="110"/>
            </w:tcMar>
          </w:tcPr>
          <w:p>
            <w:r>
              <w:rPr>
                <w:b/>
                <w:bCs/>
                <w:color w:val="FFFFFF"/>
                <w:sz w:val="19"/>
                <w:szCs w:val="19"/>
              </w:rPr>
              <w:t xml:space="preserve">Effect</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-profile docker</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Run every process in its Docker container</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-profile singularity</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Use Singularity/Apptainer (HPC-friendly)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-profile conda</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Create per-process Conda environments</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-profile sge</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Submit to an SGE cluster, with Singularity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-profile tre</w:t>
            </w:r>
          </w:p>
        </w:tc>
        <w:tc>
          <w:tcPr>
            <w:tcW w:type="dxa" w:w="7160"/>
            <w:shd w:fill="FFFFFF" w:val="clear"/>
            <w:tcMar>
              <w:top w:type="dxa" w:w="60"/>
              <w:left w:type="dxa" w:w="110"/>
              <w:bottom w:type="dxa" w:w="60"/>
              <w:right w:type="dxa" w:w="110"/>
            </w:tcMar>
          </w:tcPr>
          <w:p>
            <w:r>
              <w:rPr>
                <w:b w:val="false"/>
                <w:bCs w:val="false"/>
                <w:color w:val="000000"/>
                <w:sz w:val="19"/>
                <w:szCs w:val="19"/>
              </w:rPr>
              <w:t xml:space="preserve">Air-gapped running: disables Wave and pins every image to the offline bundle (below)</w:t>
            </w:r>
          </w:p>
        </w:tc>
      </w:tr>
    </w:tbl>
    <w:p>
      <w:pPr>
        <w:spacing w:after="80"/>
      </w:pPr>
    </w:p>
    <w:p>
      <w:pPr>
        <w:spacing w:after="120"/>
      </w:pPr>
      <w:r>
        <w:rPr>
          <w:b w:val="false"/>
          <w:bCs w:val="false"/>
          <w:i w:val="false"/>
          <w:iCs w:val="false"/>
        </w:rPr>
        <w:t xml:space="preserve">Add -resume to continue from cached results after an interruption or a parameter change. Profiles combine with a comma, so -profile tre,sge is the offline profile on a cluster.</w:t>
      </w:r>
    </w:p>
    <w:p>
      <w:pPr>
        <w:spacing w:after="120"/>
      </w:pPr>
      <w:r>
        <w:rPr>
          <w:b/>
          <w:bCs/>
        </w:rPr>
        <w:t xml:space="preserve">Running without internet access. </w:t>
      </w:r>
      <w:r>
        <w:t xml:space="preserve">Trusted Research Environments, secure enclaves and air-gapped HPC block outbound network access, and the pipeline will not run there as configured: Wave provisions several containers on the fly by contacting an external service at run time. It has to be switched off and every image supplied locally. A prepared bundle of all 27 Singularity images (about 7 GB), with a tre.config profile and a README, is published on Zenodo at https://doi.org/10.5281/zenodo.21880328, a concept DOI that resolves to the most recent bundle. Download it outside the TRE, verify it with sha256sum -c against the published checksum, transfer it in, then:</w:t>
      </w:r>
    </w:p>
    <w:p>
      <w:pPr>
        <w:shd w:fill="F4F4F4" w:val="clear"/>
        <w:spacing w:after="0" w:before="60"/>
        <w:ind w:left="120"/>
      </w:pPr>
      <w:r>
        <w:rPr>
          <w:rFonts w:ascii="Consolas" w:cs="Consolas" w:eastAsia="Consolas" w:hAnsi="Consolas"/>
          <w:sz w:val="19"/>
          <w:szCs w:val="19"/>
        </w:rPr>
        <w:t xml:space="preserve">tar -xf rnaseq-flow-1.7.0-singularity.tar</w:t>
      </w:r>
    </w:p>
    <w:p>
      <w:pPr>
        <w:shd w:fill="F4F4F4" w:val="clear"/>
        <w:spacing w:after="0" w:before="0"/>
        <w:ind w:left="120"/>
      </w:pPr>
      <w:r>
        <w:rPr>
          <w:rFonts w:ascii="Consolas" w:cs="Consolas" w:eastAsia="Consolas" w:hAnsi="Consolas"/>
          <w:sz w:val="19"/>
          <w:szCs w:val="19"/>
        </w:rPr>
        <w:t xml:space="preserve">export NXF_SINGULARITY_CACHEDIR=$PWD/singularity-1.7.0</w:t>
      </w:r>
    </w:p>
    <w:p>
      <w:pPr>
        <w:shd w:fill="F4F4F4" w:val="clear"/>
        <w:spacing w:after="0" w:before="0"/>
        <w:ind w:left="120"/>
      </w:pPr>
      <w:r>
        <w:rPr>
          <w:rFonts w:ascii="Consolas" w:cs="Consolas" w:eastAsia="Consolas" w:hAnsi="Consolas"/>
          <w:sz w:val="19"/>
          <w:szCs w:val="19"/>
        </w:rPr>
        <w:t xml:space="preserve"> </w:t>
      </w:r>
    </w:p>
    <w:p>
      <w:pPr>
        <w:shd w:fill="F4F4F4" w:val="clear"/>
        <w:spacing w:after="0" w:before="0"/>
        <w:ind w:left="120"/>
      </w:pPr>
      <w:r>
        <w:rPr>
          <w:rFonts w:ascii="Consolas" w:cs="Consolas" w:eastAsia="Consolas" w:hAnsi="Consolas"/>
          <w:sz w:val="19"/>
          <w:szCs w:val="19"/>
        </w:rPr>
        <w:t xml:space="preserve">nextflow run main.nf -c $NXF_SINGULARITY_CACHEDIR/tre.config \</w:t>
      </w:r>
    </w:p>
    <w:p>
      <w:pPr>
        <w:shd w:fill="F4F4F4" w:val="clear"/>
        <w:spacing w:after="0" w:before="0"/>
        <w:ind w:left="120"/>
      </w:pPr>
      <w:r>
        <w:rPr>
          <w:rFonts w:ascii="Consolas" w:cs="Consolas" w:eastAsia="Consolas" w:hAnsi="Consolas"/>
          <w:sz w:val="19"/>
          <w:szCs w:val="19"/>
        </w:rPr>
        <w:t xml:space="preserve">    -profile tre,sge \</w:t>
      </w:r>
    </w:p>
    <w:p>
      <w:pPr>
        <w:shd w:fill="F4F4F4" w:val="clear"/>
        <w:spacing w:after="0" w:before="0"/>
        <w:ind w:left="120"/>
      </w:pPr>
      <w:r>
        <w:rPr>
          <w:rFonts w:ascii="Consolas" w:cs="Consolas" w:eastAsia="Consolas" w:hAnsi="Consolas"/>
          <w:sz w:val="19"/>
          <w:szCs w:val="19"/>
        </w:rPr>
        <w:t xml:space="preserve">    --input samplesheet.csv --aligner star \</w:t>
      </w:r>
    </w:p>
    <w:p>
      <w:pPr>
        <w:shd w:fill="F4F4F4" w:val="clear"/>
        <w:spacing w:after="0" w:before="0"/>
        <w:ind w:left="120"/>
      </w:pPr>
      <w:r>
        <w:rPr>
          <w:rFonts w:ascii="Consolas" w:cs="Consolas" w:eastAsia="Consolas" w:hAnsi="Consolas"/>
          <w:sz w:val="19"/>
          <w:szCs w:val="19"/>
        </w:rPr>
        <w:t xml:space="preserve">    --star_index /path/to/star_index --gtf /path/to/genes.gtf \</w:t>
      </w:r>
    </w:p>
    <w:p>
      <w:pPr>
        <w:shd w:fill="F4F4F4" w:val="clear"/>
        <w:spacing w:after="140" w:before="0"/>
        <w:ind w:left="120"/>
      </w:pPr>
      <w:r>
        <w:rPr>
          <w:rFonts w:ascii="Consolas" w:cs="Consolas" w:eastAsia="Consolas" w:hAnsi="Consolas"/>
          <w:sz w:val="19"/>
          <w:szCs w:val="19"/>
        </w:rPr>
        <w:t xml:space="preserve">    --outdir results</w:t>
      </w:r>
    </w:p>
    <w:p>
      <w:pPr>
        <w:spacing w:after="120"/>
      </w:pPr>
      <w:r>
        <w:rPr>
          <w:b w:val="false"/>
          <w:bCs w:val="false"/>
          <w:i w:val="false"/>
          <w:iCs w:val="false"/>
        </w:rPr>
        <w:t xml:space="preserve">The tre profile disables Wave and pins the seven Conda-declared processes (DESeq2, edgeR/tximport, DEXSeq, GSEA, gProfiler, --download_gmt and the Quarto report) to the images in the bundle. It only works with the bundle: those seven images resolve nowhere online.</w:t>
      </w:r>
    </w:p>
    <w:p>
      <w:pPr>
        <w:pBdr>
          <w:left w:val="single" w:color="E0A800" w:sz="18" w:space="6"/>
        </w:pBdr>
        <w:shd w:fill="FFF4CE" w:val="clear"/>
        <w:spacing w:after="140" w:before="80"/>
        <w:ind w:left="160"/>
      </w:pPr>
      <w:r>
        <w:rPr>
          <w:b/>
          <w:bCs/>
        </w:rPr>
        <w:t xml:space="preserve">Note  </w:t>
      </w:r>
      <w:r>
        <w:t xml:space="preserve">The bundle is pinned to a release, and v1.7.0 is the current one. Earlier bundles do not work with it: 1.7.0 moved every Bioconductor package to release 3.22, so both the container references and the Conda specs changed. A mismatch surfaces as a process failing to find its image, not as a version error. The bundle also carries the nf-prov plugin: copy it into ~/.nextflow/plugins and set NXF_OFFLINE=true, or the run fails with no network to fetch it. The bundle carries software, not data: run --download_refs and --download_gmt outside the TRE and transfer the reference directory in alongside it, keeping reference_metadata.json with the files. Do not use -profile conda in a TRE; it resolves environments at run time and needs reachable channels.</w:t>
      </w:r>
    </w:p>
    <w:p>
      <w:pPr>
        <w:pStyle w:val="Heading1"/>
      </w:pPr>
      <w:r>
        <w:t xml:space="preserve">7. Parameter reference</w:t>
      </w:r>
    </w:p>
    <w:p>
      <w:pPr>
        <w:spacing w:after="120"/>
      </w:pPr>
      <w:r>
        <w:t xml:space="preserve">Every parameter is declared in nextflow_schema.json. Run </w:t>
      </w:r>
      <w:r>
        <w:rPr>
          <w:b/>
          <w:bCs/>
        </w:rPr>
        <w:t xml:space="preserve">nextflow run main.nf --help</w:t>
      </w:r>
      <w:r>
        <w:t xml:space="preserve"> to print the full list, grouped with defaults. The schema also powers parameter typo-detection (an unrecognised --option aborts the run) and is read by nf-core tooling.</w:t>
      </w:r>
    </w:p>
    <w:p>
      <w:pPr>
        <w:pStyle w:val="Heading2"/>
      </w:pPr>
      <w:r>
        <w:t xml:space="preserve">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--input</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Path to the CSV samplesheet (RNASEQ mode)</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--counts</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Pre-computed gene count matrix; enters at differential expression, skipping QC/alignment. Requires --input and --gtf</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--outdir</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results</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Output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--publish_dir_mode</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copy</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How results are published: copy, symlink or link</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--stop_at</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Stop after a stage: preQC, postQC, DE, GSEA</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--validate_only</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false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Validate the samplesheet and inputs, then exit before any process runs (section 2)</w:t>
            </w:r>
          </w:p>
        </w:tc>
      </w:tr>
    </w:tbl>
    <w:p>
      <w:pPr>
        <w:spacing w:after="80"/>
      </w:pPr>
    </w:p>
    <w:p>
      <w:pPr>
        <w:pStyle w:val="Heading2"/>
      </w:pPr>
      <w:r>
        <w:t xml:space="preserve">Alignment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--aligner</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star</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star, hisat2, salmon or kallisto</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--strandedness</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auto</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auto (RSeQC infers it for STAR/HISAT2), unstranded, forward or reverse; forward/reverse also set kallisto --fr/--rf-stranded</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--gtf</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Gene annotation GTF (may be gzipped)</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--star_index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STAR index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--hisat2_index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HISAT2 index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--salmon_index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Salmon index directory</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--kallisto_index</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Kallisto index file</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--transcript_fasta</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Transcript FASTA (isoform switching / pseudo-aligner build)</w:t>
            </w:r>
          </w:p>
        </w:tc>
      </w:tr>
    </w:tbl>
    <w:p>
      <w:pPr>
        <w:spacing w:after="80"/>
      </w:pPr>
    </w:p>
    <w:p>
      <w:pPr>
        <w:pStyle w:val="Heading2"/>
      </w:pPr>
      <w:r>
        <w:t xml:space="preserve">Analysis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--read_length</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100</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Read length passed to rMATS</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--ctat_lib</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CTAT genome library directory; enables STAR-Fusion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--isoform_switch</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false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Enable IsoformSwitchAnalyzeR (needs --aligner salmon)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--dtu</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false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Enable DEXSeq differential transcript usage (--aligner salmon or kallisto)</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--diffsplice</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false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Enable edgeR diffSpliceDGE differential splicing (exon level: STAR/HISAT2; transcript level: Salmon/Kallisto)</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--design</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auto</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DESeq2/edgeR model formula, e.g. ~ batch + condition (default: ~ batch + condition if the samplesheet has a batch column, else ~ condition)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--reference_level</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REF</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The baseline condition, the denominator of every contrast in DESeq2, edgeR, rMATS, DEXSeq and diffSplice (section 6.6). Must exist in the samplesheet</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--gmt</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GMT gene-set file; enables GSEA</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--organism</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hsapiens</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Organism ID for gProfiler / GMT download</w:t>
            </w:r>
          </w:p>
        </w:tc>
      </w:tr>
    </w:tbl>
    <w:p>
      <w:pPr>
        <w:spacing w:after="80"/>
      </w:pPr>
    </w:p>
    <w:p>
      <w:pPr>
        <w:pStyle w:val="Heading2"/>
      </w:pPr>
      <w:r>
        <w:t xml:space="preserve">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Parameter</w:t>
            </w:r>
          </w:p>
        </w:tc>
        <w:tc>
          <w:tcPr>
            <w:tcW w:type="dxa" w:w="1100"/>
            <w:shd w:fill="1F4E79" w:val="clear"/>
            <w:tcMar>
              <w:top w:type="dxa" w:w="60"/>
              <w:left w:type="dxa" w:w="110"/>
              <w:bottom w:type="dxa" w:w="60"/>
              <w:right w:type="dxa" w:w="110"/>
            </w:tcMar>
          </w:tcPr>
          <w:p>
            <w:r>
              <w:rPr>
                <w:b/>
                <w:bCs/>
                <w:color w:val="FFFFFF"/>
                <w:sz w:val="19"/>
                <w:szCs w:val="19"/>
              </w:rPr>
              <w:t xml:space="preserve">Default</w:t>
            </w:r>
          </w:p>
        </w:tc>
        <w:tc>
          <w:tcPr>
            <w:tcW w:type="dxa" w:w="6060"/>
            <w:shd w:fill="1F4E79" w:val="clear"/>
            <w:tcMar>
              <w:top w:type="dxa" w:w="60"/>
              <w:left w:type="dxa" w:w="110"/>
              <w:bottom w:type="dxa" w:w="60"/>
              <w:right w:type="dxa" w:w="110"/>
            </w:tcMar>
          </w:tcPr>
          <w:p>
            <w:r>
              <w:rPr>
                <w:b/>
                <w:bCs/>
                <w:color w:val="FFFFFF"/>
                <w:sz w:val="19"/>
                <w:szCs w:val="19"/>
              </w:rPr>
              <w:t xml:space="preserve">Description</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--max_cpus</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16</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Per-process CPU ceiling</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--max_memory</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128.GB</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Per-process memory ceiling</w:t>
            </w:r>
          </w:p>
        </w:tc>
      </w:tr>
      <w:tr>
        <w:trPr>
          <w:tblHeader w:val="false"/>
        </w:trPr>
        <w:tc>
          <w:tcPr>
            <w:tcW w:type="dxa" w:w="2200"/>
            <w:shd w:fill="FFFFFF" w:val="clear"/>
            <w:tcMar>
              <w:top w:type="dxa" w:w="60"/>
              <w:left w:type="dxa" w:w="110"/>
              <w:bottom w:type="dxa" w:w="60"/>
              <w:right w:type="dxa" w:w="110"/>
            </w:tcMar>
          </w:tcPr>
          <w:p>
            <w:r>
              <w:rPr>
                <w:b w:val="false"/>
                <w:bCs w:val="false"/>
                <w:color w:val="000000"/>
                <w:sz w:val="19"/>
                <w:szCs w:val="19"/>
              </w:rPr>
              <w:t xml:space="preserve">--max_time</w:t>
            </w:r>
          </w:p>
        </w:tc>
        <w:tc>
          <w:tcPr>
            <w:tcW w:type="dxa" w:w="1100"/>
            <w:shd w:fill="FFFFFF" w:val="clear"/>
            <w:tcMar>
              <w:top w:type="dxa" w:w="60"/>
              <w:left w:type="dxa" w:w="110"/>
              <w:bottom w:type="dxa" w:w="60"/>
              <w:right w:type="dxa" w:w="110"/>
            </w:tcMar>
          </w:tcPr>
          <w:p>
            <w:r>
              <w:rPr>
                <w:b w:val="false"/>
                <w:bCs w:val="false"/>
                <w:color w:val="000000"/>
                <w:sz w:val="19"/>
                <w:szCs w:val="19"/>
              </w:rPr>
              <w:t xml:space="preserve">240.h</w:t>
            </w:r>
          </w:p>
        </w:tc>
        <w:tc>
          <w:tcPr>
            <w:tcW w:type="dxa" w:w="6060"/>
            <w:shd w:fill="FFFFFF" w:val="clear"/>
            <w:tcMar>
              <w:top w:type="dxa" w:w="60"/>
              <w:left w:type="dxa" w:w="110"/>
              <w:bottom w:type="dxa" w:w="60"/>
              <w:right w:type="dxa" w:w="110"/>
            </w:tcMar>
          </w:tcPr>
          <w:p>
            <w:r>
              <w:rPr>
                <w:b w:val="false"/>
                <w:bCs w:val="false"/>
                <w:color w:val="000000"/>
                <w:sz w:val="19"/>
                <w:szCs w:val="19"/>
              </w:rPr>
              <w:t xml:space="preserve">Per-process wall-time ceiling</w:t>
            </w:r>
          </w:p>
        </w:tc>
      </w:tr>
    </w:tbl>
    <w:p>
      <w:pPr>
        <w:spacing w:after="80"/>
      </w:pPr>
    </w:p>
    <w:p>
      <w:pPr>
        <w:spacing w:after="120"/>
      </w:pPr>
      <w:r>
        <w:rPr>
          <w:b w:val="false"/>
          <w:bCs w:val="false"/>
          <w:i w:val="false"/>
          <w:iCs w:val="false"/>
        </w:rPr>
        <w:t xml:space="preserve">Per-process CPU/memory/time defaults live in conf/base.config and are automatically capped by the --max_* values. A failed task is retried once with doubled memory and time.</w:t>
      </w:r>
    </w:p>
    <w:p>
      <w:r>
        <w:br w:type="page"/>
      </w:r>
    </w:p>
    <w:p>
      <w:pPr>
        <w:pStyle w:val="Heading1"/>
      </w:pPr>
      <w:r>
        <w:t xml:space="preserve">8. Interpreting the outputs</w:t>
      </w:r>
    </w:p>
    <w:p>
      <w:pPr>
        <w:spacing w:after="120"/>
      </w:pPr>
      <w:r>
        <w:rPr>
          <w:b w:val="false"/>
          <w:bCs w:val="false"/>
          <w:i w:val="false"/>
          <w:iCs w:val="false"/>
        </w:rPr>
        <w:t xml:space="preserve">All paths below are relative to --outdir (default results/). Which directories appear depends on the aligner and options chosen. A good reading order: start with the MultiQC report, confirm alignment rates and strandedness, check the PCA plot, then move to the differential-expression tables and downstream analyses.</w:t>
      </w:r>
    </w:p>
    <w:p>
      <w:pPr>
        <w:pStyle w:val="Heading2"/>
      </w:pPr>
      <w:r>
        <w:t xml:space="preserve">8.1 Read QC - fastqc/ and fastp/</w:t>
      </w:r>
    </w:p>
    <w:p>
      <w:pPr>
        <w:spacing w:after="120"/>
      </w:pPr>
      <w:r>
        <w:rPr>
          <w:b w:val="false"/>
          <w:bCs w:val="false"/>
          <w:i w:val="false"/>
          <w:iCs w:val="false"/>
        </w:rPr>
        <w:t xml:space="preserve">fastqc/ holds a *_fastqc.html report per sample - check per-base quality, adapter content and duplication. fastp/ holds the trimmed FASTQ files plus *.fastp.html / .json trimming reports. A large drop in read count means aggressive filtering. All of these metrics are also aggregated in the MultiQC report, which is usually easier for cross-sample comparison.</w:t>
      </w:r>
    </w:p>
    <w:p>
      <w:pPr>
        <w:pStyle w:val="Heading2"/>
      </w:pPr>
      <w:r>
        <w:t xml:space="preserve">8.2 Alignment - star/ or hisat2/</w:t>
      </w:r>
    </w:p>
    <w:p>
      <w:pPr>
        <w:spacing w:after="120"/>
      </w:pPr>
      <w:r>
        <w:rPr>
          <w:b w:val="false"/>
          <w:bCs w:val="false"/>
          <w:i w:val="false"/>
          <w:iCs w:val="false"/>
        </w:rPr>
        <w:t xml:space="preserve">Contains coordinate-sorted BAM files, their .bai indices, and an alignment log per sample (STAR Log.final.out or the HISAT2 summary). The key metric is the uniquely-mapped read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Uniquely mapped %</w:t>
            </w:r>
          </w:p>
        </w:tc>
        <w:tc>
          <w:tcPr>
            <w:tcW w:type="dxa" w:w="6360"/>
            <w:shd w:fill="1F4E79" w:val="clear"/>
            <w:tcMar>
              <w:top w:type="dxa" w:w="60"/>
              <w:left w:type="dxa" w:w="110"/>
              <w:bottom w:type="dxa" w:w="60"/>
              <w:right w:type="dxa" w:w="110"/>
            </w:tcMar>
          </w:tcPr>
          <w:p>
            <w:r>
              <w:rPr>
                <w:b/>
                <w:bCs/>
                <w:color w:val="FFFFFF"/>
                <w:sz w:val="19"/>
                <w:szCs w:val="19"/>
              </w:rPr>
              <w:t xml:space="preserve">Interpretation</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Above 85%</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Excellent</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70-85%</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Acceptable</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Below 70%</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Investigate - contamination, wrong genome, or poor read quality</w:t>
            </w:r>
          </w:p>
        </w:tc>
      </w:tr>
    </w:tbl>
    <w:p>
      <w:pPr>
        <w:spacing w:after="80"/>
      </w:pPr>
    </w:p>
    <w:p>
      <w:pPr>
        <w:pStyle w:val="Heading2"/>
      </w:pPr>
      <w:r>
        <w:t xml:space="preserve">8.3 Transcript quantification - salmon/ or kallisto/</w:t>
      </w:r>
    </w:p>
    <w:p>
      <w:pPr>
        <w:spacing w:after="120"/>
      </w:pPr>
      <w:r>
        <w:rPr>
          <w:b w:val="false"/>
          <w:bCs w:val="false"/>
          <w:i w:val="false"/>
          <w:iCs w:val="false"/>
        </w:rPr>
        <w:t xml:space="preserve">One sub-directory per sample. Salmon writes quant.sf; Kallisto writes abundance.tsv. Both report a TPM column (Transcripts Per Million - a normalised abundance comparable across samples) and an estimated read-count column (NumReads / est_counts). The pipeline's tximport step summarises these counts to gene level and feeds them straight into DESeq2/edgeR (see section 8.6).</w:t>
      </w:r>
    </w:p>
    <w:p>
      <w:pPr>
        <w:pStyle w:val="Heading2"/>
      </w:pPr>
      <w:r>
        <w:t xml:space="preserve">8.4 Alignment QC - rseqc/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File</w:t>
            </w:r>
          </w:p>
        </w:tc>
        <w:tc>
          <w:tcPr>
            <w:tcW w:type="dxa" w:w="6360"/>
            <w:shd w:fill="1F4E79" w:val="clear"/>
            <w:tcMar>
              <w:top w:type="dxa" w:w="60"/>
              <w:left w:type="dxa" w:w="110"/>
              <w:bottom w:type="dxa" w:w="60"/>
              <w:right w:type="dxa" w:w="110"/>
            </w:tcMar>
          </w:tcPr>
          <w:p>
            <w:r>
              <w:rPr>
                <w:b/>
                <w:bCs/>
                <w:color w:val="FFFFFF"/>
                <w:sz w:val="19"/>
                <w:szCs w:val="19"/>
              </w:rPr>
              <w:t xml:space="preserve">What it tells you</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*.infer_experiment.txt</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Library strandedness, measured empirically</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*.strandedness.txt</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One-word verdict (forward/reverse/unstranded) derived from the above</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*.read_distribution.txt</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Fraction of reads in CDS / UTR / intron / intergenic regions</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*.geneBodyCoverage.txt + .pdf</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5'-3' coverage evenness (flat is good; 3' skew = degradation)</w:t>
            </w:r>
          </w:p>
        </w:tc>
      </w:tr>
    </w:tbl>
    <w:p>
      <w:pPr>
        <w:spacing w:after="80"/>
      </w:pPr>
    </w:p>
    <w:p>
      <w:pPr>
        <w:spacing w:after="120"/>
      </w:pPr>
      <w:r>
        <w:rPr>
          <w:b w:val="false"/>
          <w:bCs w:val="false"/>
          <w:i w:val="false"/>
          <w:iCs w:val="false"/>
        </w:rPr>
        <w:t xml:space="preserve">With --strandedness auto (the default) this inference is fed straight into featureCounts: each sample's verdict in strandedness.txt sets that sample's featureCounts -s flag, so the correct strand setting is used automatically. Setting --strandedness explicitly overrides it; check any explicit value against strandedness.txt, since a wrong strand setting roughly halves your gene counts.</w:t>
      </w:r>
    </w:p>
    <w:p>
      <w:pPr>
        <w:pStyle w:val="Heading2"/>
      </w:pPr>
      <w:r>
        <w:t xml:space="preserve">8.5 Coverage tracks - bam_to_bigwig/</w:t>
      </w:r>
    </w:p>
    <w:p>
      <w:pPr>
        <w:spacing w:after="120"/>
      </w:pPr>
      <w:r>
        <w:rPr>
          <w:b w:val="false"/>
          <w:bCs w:val="false"/>
          <w:i w:val="false"/>
          <w:iCs w:val="false"/>
        </w:rPr>
        <w:t xml:space="preserve">CPM-normalised .bw coverage files. Load them into IGV or the UCSC Genome Browser to inspect coverage at specific loci; CPM normalisation makes tracks comparable across samples of different sequencing depth.</w:t>
      </w:r>
    </w:p>
    <w:p>
      <w:pPr>
        <w:pStyle w:val="Heading2"/>
      </w:pPr>
      <w:r>
        <w:t xml:space="preserve">8.6 Gene counts - featurecounts/ and tximport/</w:t>
      </w:r>
    </w:p>
    <w:p>
      <w:pPr>
        <w:spacing w:after="120"/>
      </w:pPr>
      <w:r>
        <w:rPr>
          <w:b w:val="false"/>
          <w:bCs w:val="false"/>
          <w:i w:val="false"/>
          <w:iCs w:val="false"/>
        </w:rPr>
        <w:t xml:space="preserve">Gene-level counts are the input to DESeq2 and edgeR. With STAR/HISAT2 they come from featureCounts: a per-sample table (Geneid plus a raw read-count column) and a .summary file breaking down assigned versus unassigned reads. With Salmon/Kallisto they come from tximport, which summarises transcript quantification to gene level - tximport_gene_counts.csv is the gene-by-sample matrix and txi.rds is the full object (counts, abundances and transcript lengths) that DESeq2/edgeR import with proper length-aware normalisation. Either way the counts are not library-size normalised and should not be compared directly between samples. When --diffsplice is set on a genome aligner, a parallel exon-level run (featureCounts -f) writes per-exon tables to featurecounts_exon/.</w:t>
      </w:r>
    </w:p>
    <w:p>
      <w:pPr>
        <w:pStyle w:val="Heading2"/>
      </w:pPr>
      <w:r>
        <w:t xml:space="preserve">8.7 Differential expression - deseq2_output/</w:t>
      </w:r>
    </w:p>
    <w:p>
      <w:pPr>
        <w:spacing w:after="120"/>
      </w:pPr>
      <w:r>
        <w:rPr>
          <w:b w:val="false"/>
          <w:bCs w:val="false"/>
          <w:i w:val="false"/>
          <w:iCs w:val="false"/>
        </w:rPr>
        <w:t xml:space="preserve">One results CSV per pairwise contrast, named deseq2_results_&lt;A&gt;_vs_&lt;B&gt;.csv, where B is the baseline (section 6.6) and the fold change is A relative to B. Each table is annotated with gene_name and gene_biotype columns parsed from the GTF.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4E79" w:val="clear"/>
            <w:tcMar>
              <w:top w:type="dxa" w:w="60"/>
              <w:left w:type="dxa" w:w="110"/>
              <w:bottom w:type="dxa" w:w="60"/>
              <w:right w:type="dxa" w:w="110"/>
            </w:tcMar>
          </w:tcPr>
          <w:p>
            <w:r>
              <w:rPr>
                <w:b/>
                <w:bCs/>
                <w:color w:val="FFFFFF"/>
                <w:sz w:val="19"/>
                <w:szCs w:val="19"/>
              </w:rPr>
              <w:t xml:space="preserve">Column</w:t>
            </w:r>
          </w:p>
        </w:tc>
        <w:tc>
          <w:tcPr>
            <w:tcW w:type="dxa" w:w="7060"/>
            <w:shd w:fill="1F4E79" w:val="clear"/>
            <w:tcMar>
              <w:top w:type="dxa" w:w="60"/>
              <w:left w:type="dxa" w:w="110"/>
              <w:bottom w:type="dxa" w:w="60"/>
              <w:right w:type="dxa" w:w="110"/>
            </w:tcMar>
          </w:tcPr>
          <w:p>
            <w:r>
              <w:rPr>
                <w:b/>
                <w:bCs/>
                <w:color w:val="FFFFFF"/>
                <w:sz w:val="19"/>
                <w:szCs w:val="19"/>
              </w:rPr>
              <w:t xml:space="preserve">Meaning</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gene_id</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The stable gene identifier from the GTF. Symbols are neither unique nor stable across annotation releases, so this is the column to join on</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gene_name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Gene symbol, parsed from the GTF</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gene_biotype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Gene biotype (e.g. protein_coding, lncRNA)</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baseMean</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Mean normalised count across all samples</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log2FoldChange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Effect size - log2(A / B), apeglm-shrunken</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log2FoldChange_MLE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The unshrunken maximum-likelihood fold change, kept beside the shrunken one so the size of the shrinkage can be seen rather than inferred</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lfcSE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Posterior SD of the shrunken log2 fold change (apeglm)</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stat</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Wald test statistic (from the unshrunken fit)</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pvalue</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Raw p-value</w:t>
            </w:r>
          </w:p>
        </w:tc>
      </w:tr>
      <w:tr>
        <w:trPr>
          <w:tblHeader w:val="false"/>
        </w:trPr>
        <w:tc>
          <w:tcPr>
            <w:tcW w:type="dxa" w:w="2300"/>
            <w:shd w:fill="FFFFFF" w:val="clear"/>
            <w:tcMar>
              <w:top w:type="dxa" w:w="60"/>
              <w:left w:type="dxa" w:w="110"/>
              <w:bottom w:type="dxa" w:w="60"/>
              <w:right w:type="dxa" w:w="110"/>
            </w:tcMar>
          </w:tcPr>
          <w:p>
            <w:r>
              <w:rPr>
                <w:b w:val="false"/>
                <w:bCs w:val="false"/>
                <w:color w:val="000000"/>
                <w:sz w:val="19"/>
                <w:szCs w:val="19"/>
              </w:rPr>
              <w:t xml:space="preserve">padj</w:t>
            </w:r>
          </w:p>
        </w:tc>
        <w:tc>
          <w:tcPr>
            <w:tcW w:type="dxa" w:w="7060"/>
            <w:shd w:fill="FFFFFF" w:val="clear"/>
            <w:tcMar>
              <w:top w:type="dxa" w:w="60"/>
              <w:left w:type="dxa" w:w="110"/>
              <w:bottom w:type="dxa" w:w="60"/>
              <w:right w:type="dxa" w:w="110"/>
            </w:tcMar>
          </w:tcPr>
          <w:p>
            <w:r>
              <w:rPr>
                <w:b w:val="false"/>
                <w:bCs w:val="false"/>
                <w:color w:val="000000"/>
                <w:sz w:val="19"/>
                <w:szCs w:val="19"/>
              </w:rPr>
              <w:t xml:space="preserve">Benjamini-Hochberg adjusted p-value (FDR) - use this for significance</w:t>
            </w:r>
          </w:p>
        </w:tc>
      </w:tr>
    </w:tbl>
    <w:p>
      <w:pPr>
        <w:spacing w:after="80"/>
      </w:pPr>
    </w:p>
    <w:p>
      <w:pPr>
        <w:spacing w:after="120"/>
      </w:pPr>
      <w:r>
        <w:rPr>
          <w:b w:val="false"/>
          <w:bCs w:val="false"/>
          <w:i w:val="false"/>
          <w:iCs w:val="false"/>
        </w:rPr>
        <w:t xml:space="preserve">The log2FoldChange is shrunk with the apeglm estimator (DESeq2 lfcShrink): low-count, high-variance genes are pulled toward zero, giving more reliable effect sizes and cleaner MA / volcano plots. Shrinkage changes only the effect-size estimate - stat, pvalue and padj come from the unshrunken Wald test, so significance calling is unaffected.</w:t>
      </w:r>
    </w:p>
    <w:p>
      <w:pPr>
        <w:spacing w:after="120"/>
      </w:pPr>
      <w:r>
        <w:rPr>
          <w:b w:val="false"/>
          <w:bCs w:val="false"/>
          <w:i w:val="false"/>
          <w:iCs w:val="false"/>
        </w:rPr>
        <w:t xml:space="preserve">A common significance threshold is padj &lt; 0.05 with |log2FoldChange| &gt; 1 (a 2-fold change). A padj of NA is normal - DESeq2 assigns it to genes filtered for low counts or flagged as outliers.</w:t>
      </w:r>
    </w:p>
    <w:p>
      <w:pPr>
        <w:spacing w:after="120"/>
      </w:pPr>
      <w:r>
        <w:rPr>
          <w:b w:val="false"/>
          <w:bCs w:val="false"/>
          <w:i w:val="false"/>
          <w:iCs w:val="false"/>
        </w:rPr>
        <w:t xml:space="preserve">Every figure is written twice, as a 300 dpi PNG and as an SVG: the vector copy for publication and figure assembly, the raster for slides and email. The folder holds pca_plot (sample clustering - replicates should group together), maplot_&lt;A&gt;_vs_&lt;B&gt; and volcano_&lt;A&gt;_vs_&lt;B&gt; per contrast, heatmap_top_var (the 20 most variable genes), and shrinkage_ma_&lt;A&gt;_vs_&lt;B&gt;, which shows the same contrast before and after apeglm so you can see how far shrinkage moved the fold changes rather than take it on faith. The volcano colours genes that pass padj &lt; 0.05 and |log2FC| &gt; 1. Every one of these can be redrawn and adapted from the reproduce/ subfolder (section 8.16).</w:t>
      </w:r>
    </w:p>
    <w:p>
      <w:pPr>
        <w:pStyle w:val="Heading2"/>
      </w:pPr>
      <w:r>
        <w:t xml:space="preserve">8.8 Differential expression - edger_output/</w:t>
      </w:r>
    </w:p>
    <w:p>
      <w:pPr>
        <w:spacing w:after="120"/>
      </w:pPr>
      <w:r>
        <w:rPr>
          <w:b w:val="false"/>
          <w:bCs w:val="false"/>
          <w:i w:val="false"/>
          <w:iCs w:val="false"/>
        </w:rPr>
        <w:t xml:space="preserve">edgeR runs alongside DESeq2 as an independent cross-check, on the same gene counts. Results CSVs (edger_results_&lt;A&gt;_vs_&lt;B&gt;.csv) carry gene_id, gene_name and gene_biotype columns and use logFC, logCPM, the F statistic, PValue and FDR (the adjusted p-value). Genes called significant by both DESeq2 and edgeR are the most robust hits, and the analysis report tabulates that overlap per contrast. The folder also has an MDS plot and per-contrast smear and volcano plots as PNG and SVG (the volcano colouring genes with FDR &lt; 0.05 and |logFC| &gt; 1), plus a reproduce/ subfolder (section 8.16).</w:t>
      </w:r>
    </w:p>
    <w:p>
      <w:pPr>
        <w:pStyle w:val="Heading2"/>
      </w:pPr>
      <w:r>
        <w:t xml:space="preserve">8.9 Functional enrichment - gsea_output/ and gprofiler_output/</w:t>
      </w:r>
    </w:p>
    <w:p>
      <w:pPr>
        <w:spacing w:after="120"/>
      </w:pPr>
      <w:r>
        <w:rPr>
          <w:b w:val="false"/>
          <w:bCs w:val="false"/>
          <w:i w:val="false"/>
          <w:iCs w:val="false"/>
        </w:rPr>
        <w:t xml:space="preserve">GSEA (fgsea) runs on the whole ranked DESeq2 gene list. gsea_stats_&lt;contrast&gt;.csv reports pathway, pval/padj, ES, NES (normalised enrichment score - its sign gives direction) and size, and gsea_ranks_&lt;contrast&gt;.csv is the ranked list it was run on. A positive NES means the pathway is up in condition A. Two figures per contrast, as PNG and SVG: gsea_plot (the enrichment table plot) and gsea_dotplot (the most significant gene sets by NES and padj).</w:t>
      </w:r>
    </w:p>
    <w:p>
      <w:pPr>
        <w:spacing w:after="120"/>
      </w:pPr>
      <w:r>
        <w:rPr>
          <w:b w:val="false"/>
          <w:bCs w:val="false"/>
          <w:i w:val="false"/>
          <w:iCs w:val="false"/>
        </w:rPr>
        <w:t xml:space="preserve">gProfiler tests the thresholded significant gene lists for enriched GO terms and pathways, separately for up- and down-regulated genes (gprofiler_UP/DOWN_&lt;contrast&gt;.csv plus gostplot images). GSEA uses the whole ranked list and gProfiler a thresholded list - agreement between them strengthens a conclusion. Both folders carry a reproduce/ subfolder (section 8.16); GSEA's is the one that most needs it, since plotGseaTable requires gene-set membership from the GMT, a pipeline input that is never published with the results.</w:t>
      </w:r>
    </w:p>
    <w:p>
      <w:pPr>
        <w:pStyle w:val="Heading2"/>
      </w:pPr>
      <w:r>
        <w:t xml:space="preserve">8.10 Alternative splicing - rmats_output/</w:t>
      </w:r>
    </w:p>
    <w:p>
      <w:pPr>
        <w:spacing w:after="120"/>
      </w:pPr>
      <w:r>
        <w:rPr>
          <w:b w:val="false"/>
          <w:bCs w:val="false"/>
          <w:i w:val="false"/>
          <w:iCs w:val="false"/>
        </w:rPr>
        <w:t xml:space="preserve">One sub-directory per condition pair, named &lt;condition&gt;_vs_REF to match the differential-expression tables, with the baseline (section 6.6) as the second name. rMATS reports five event types: SE (skipped exon), MXE (mutually exclusive exons), A3SS / A5SS (alternative 3' / 5' splice sites) and RI (retained intron). For each there is a JC file (junction counts only) and a JCEC file (junction plus exon-body counts). The key columns are IncLevelDifference (the change in inclusion level, PSI) and FDR. A common cutoff is FDR &lt; 0.05 with |IncLevelDifference| &gt; 0.1.</w:t>
      </w:r>
    </w:p>
    <w:p>
      <w:pPr>
        <w:spacing w:after="120"/>
      </w:pPr>
      <w:r>
        <w:rPr>
          <w:b/>
          <w:bCs/>
        </w:rPr>
        <w:t xml:space="preserve">Reading the sign. </w:t>
      </w:r>
      <w:r>
        <w:t xml:space="preserve">IncLevelDifference is PSI in the first-named condition minus PSI in the second. In NaCl_vs_REF it is PSI(NaCl) minus PSI(REF), so a positive value means higher inclusion in NaCl: the same direction a positive log2FoldChange means in deseq2_results_NaCl_vs_REF.csv. PSI is a proportion, so the difference is bounded at plus or minus 1, and a value of 0.2 means twenty percentage points of the transcript pool shifted. It is not a fold change and should not be compared to one.</w:t>
      </w:r>
    </w:p>
    <w:p>
      <w:pPr>
        <w:pBdr>
          <w:left w:val="single" w:color="E0A800" w:sz="18" w:space="6"/>
        </w:pBdr>
        <w:shd w:fill="FFF4CE" w:val="clear"/>
        <w:spacing w:after="140" w:before="80"/>
        <w:ind w:left="160"/>
      </w:pPr>
      <w:r>
        <w:rPr>
          <w:b/>
          <w:bCs/>
        </w:rPr>
        <w:t xml:space="preserve">Note  </w:t>
      </w:r>
      <w:r>
        <w:t xml:space="preserve">Changed in 1.6.0. Directories were previously named REF_vs_&lt;condition&gt; and IncLevelDifference carried the opposite sign, so a positive value meant higher inclusion in REF. Splicing results produced before 1.6.0 point the other way, and the files give no indication of which convention they follow beyond the directory name. Do not compare results across that boundary without checking.</w:t>
      </w:r>
    </w:p>
    <w:p>
      <w:pPr>
        <w:pBdr>
          <w:left w:val="single" w:color="E0A800" w:sz="18" w:space="6"/>
        </w:pBdr>
        <w:shd w:fill="FFF4CE" w:val="clear"/>
        <w:spacing w:after="140" w:before="80"/>
        <w:ind w:left="160"/>
      </w:pPr>
      <w:r>
        <w:rPr>
          <w:b/>
          <w:bCs/>
        </w:rPr>
        <w:t xml:space="preserve">Note  </w:t>
      </w:r>
      <w:r>
        <w:t xml:space="preserve">summary.txt uses different criteria. rMATS builds it with an |IncLevelDifference| cutoff of 0, so its SignificantEvents columns count every FDR-significant event regardless of effect size. Those numbers will be larger, often much larger, than the cutoff above produces. Recompute from the MATS.JC.txt files rather than quoting summary.txt; the analysis report's splicing section does exactly that.</w:t>
      </w:r>
    </w:p>
    <w:p>
      <w:pPr>
        <w:pStyle w:val="Heading2"/>
      </w:pPr>
      <w:r>
        <w:t xml:space="preserve">8.11 Gene fusions - star_fusion/</w:t>
      </w:r>
    </w:p>
    <w:p>
      <w:pPr>
        <w:spacing w:after="120"/>
      </w:pPr>
      <w:r>
        <w:rPr>
          <w:b w:val="false"/>
          <w:bCs w:val="false"/>
          <w:i w:val="false"/>
          <w:iCs w:val="false"/>
        </w:rPr>
        <w:t xml:space="preserve">Per-sample fusion_predictions.tsv (full) and .abridged.tsv (summary). Each row is a candidate fusion (GENE1--GENE2) with JunctionReadCount and SpanningFragCount support, breakpoint coordinates, large-anchor support and an FFPM normalised support value. Higher read support plus YES large-anchor support indicates a more confident call; always validate candidates against known biology.</w:t>
      </w:r>
    </w:p>
    <w:p>
      <w:pPr>
        <w:pStyle w:val="Heading2"/>
      </w:pPr>
      <w:r>
        <w:t xml:space="preserve">8.12 Isoform switching - isoform_switch/</w:t>
      </w:r>
    </w:p>
    <w:p>
      <w:pPr>
        <w:spacing w:after="120"/>
      </w:pPr>
      <w:r>
        <w:rPr>
          <w:b w:val="false"/>
          <w:bCs w:val="false"/>
          <w:i w:val="false"/>
          <w:iCs w:val="false"/>
        </w:rPr>
        <w:t xml:space="preserve">isoform_switches.csv lists genes whose dominant transcript isoform changes between conditions even when total gene expression does not - biologically important and invisible to gene-level DE. Per-gene switch plots and the full analysis R object (switchList_analyzed.rds) are also written.</w:t>
      </w:r>
    </w:p>
    <w:p>
      <w:pPr>
        <w:pStyle w:val="Heading2"/>
      </w:pPr>
      <w:r>
        <w:t xml:space="preserve">8.13 Differential transcript usage - dtu_output/</w:t>
      </w:r>
    </w:p>
    <w:p>
      <w:pPr>
        <w:spacing w:after="120"/>
      </w:pPr>
      <w:r>
        <w:rPr>
          <w:b w:val="false"/>
          <w:bCs w:val="false"/>
          <w:i w:val="false"/>
          <w:iCs w:val="false"/>
        </w:rPr>
        <w:t xml:space="preserve">Written only when --dtu is set (Salmon or Kallisto route). DEXSeq tests whether the relative usage of a gene's transcript isoforms shifts between conditions, independent of any change in total gene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File</w:t>
            </w:r>
          </w:p>
        </w:tc>
        <w:tc>
          <w:tcPr>
            <w:tcW w:type="dxa" w:w="6360"/>
            <w:shd w:fill="1F4E79" w:val="clear"/>
            <w:tcMar>
              <w:top w:type="dxa" w:w="60"/>
              <w:left w:type="dxa" w:w="110"/>
              <w:bottom w:type="dxa" w:w="60"/>
              <w:right w:type="dxa" w:w="110"/>
            </w:tcMar>
          </w:tcPr>
          <w:p>
            <w:r>
              <w:rPr>
                <w:b/>
                <w:bCs/>
                <w:color w:val="FFFFFF"/>
                <w:sz w:val="19"/>
                <w:szCs w:val="19"/>
              </w:rPr>
              <w:t xml:space="preserve">Contents</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dtu_transcript_results.csv</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Per-transcript test: groupID (gene), gene_name, gene_biotype, featureID (transcript), exonBaseMean, dispersion, stat, pvalue, padj</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dtu_gene_qvalues.csv</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Per-gene q-value: columns gene, gene_name, gene_biotype, gene_qvalue (one value per gene, aggregating its transcripts)</w:t>
            </w:r>
          </w:p>
        </w:tc>
      </w:tr>
    </w:tbl>
    <w:p>
      <w:pPr>
        <w:spacing w:after="80"/>
      </w:pPr>
    </w:p>
    <w:p>
      <w:pPr>
        <w:spacing w:after="120"/>
      </w:pPr>
      <w:r>
        <w:rPr>
          <w:b w:val="false"/>
          <w:bCs w:val="false"/>
          <w:i w:val="false"/>
          <w:iCs w:val="false"/>
        </w:rPr>
        <w:t xml:space="preserve">Use dtu_gene_qvalues.csv (gene_qvalue &lt; 0.05) to call genes with a significant usage change, then dtu_transcript_results.csv to see which transcripts of that gene drive the switch. Only multi-transcript, expressed genes are tested. DTU complements isoform switching and gene-level DE - a gene can show significant DTU while its total expression is unchanged.</w:t>
      </w:r>
    </w:p>
    <w:p>
      <w:pPr>
        <w:pStyle w:val="Heading2"/>
      </w:pPr>
      <w:r>
        <w:t xml:space="preserve">8.14 Differential splicing - diffsplice_output/</w:t>
      </w:r>
    </w:p>
    <w:p>
      <w:pPr>
        <w:spacing w:after="120"/>
      </w:pPr>
      <w:r>
        <w:rPr>
          <w:b w:val="false"/>
          <w:bCs w:val="false"/>
          <w:i w:val="false"/>
          <w:iCs w:val="false"/>
        </w:rPr>
        <w:t xml:space="preserve">Written only when --diffsplice is set. edgeR's diffSpliceDGE tests, for each feature, whether its log fold change between conditions departs from the gene's overall log fold change - i.e. differential usage. The feature is an exon for STAR/HISAT2 and a transcript for Salmon/Kallisto.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val="clear"/>
            <w:tcMar>
              <w:top w:type="dxa" w:w="60"/>
              <w:left w:type="dxa" w:w="110"/>
              <w:bottom w:type="dxa" w:w="60"/>
              <w:right w:type="dxa" w:w="110"/>
            </w:tcMar>
          </w:tcPr>
          <w:p>
            <w:r>
              <w:rPr>
                <w:b/>
                <w:bCs/>
                <w:color w:val="FFFFFF"/>
                <w:sz w:val="19"/>
                <w:szCs w:val="19"/>
              </w:rPr>
              <w:t xml:space="preserve">File</w:t>
            </w:r>
          </w:p>
        </w:tc>
        <w:tc>
          <w:tcPr>
            <w:tcW w:type="dxa" w:w="5960"/>
            <w:shd w:fill="1F4E79" w:val="clear"/>
            <w:tcMar>
              <w:top w:type="dxa" w:w="60"/>
              <w:left w:type="dxa" w:w="110"/>
              <w:bottom w:type="dxa" w:w="60"/>
              <w:right w:type="dxa" w:w="110"/>
            </w:tcMar>
          </w:tcPr>
          <w:p>
            <w:r>
              <w:rPr>
                <w:b/>
                <w:bCs/>
                <w:color w:val="FFFFFF"/>
                <w:sz w:val="19"/>
                <w:szCs w:val="19"/>
              </w:rPr>
              <w:t xml:space="preserve">Contents</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diffsplice_exon_results.csv  or  diffsplice_transcript_results.csv</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Per-feature test: GeneID, gene_name, gene_biotype, FeatureID, logFC, an exon-level statistic, P.Value, FDR, comparison</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diffsplice_gene_results.csv</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Per-gene test (Simes' method across a gene's features): GeneID, gene_name, gene_biotype, NExons, P.Value, FDR, comparison</w:t>
            </w:r>
          </w:p>
        </w:tc>
      </w:tr>
    </w:tbl>
    <w:p>
      <w:pPr>
        <w:spacing w:after="80"/>
      </w:pPr>
    </w:p>
    <w:p>
      <w:pPr>
        <w:spacing w:after="120"/>
      </w:pPr>
      <w:r>
        <w:rPr>
          <w:b w:val="false"/>
          <w:bCs w:val="false"/>
          <w:i w:val="false"/>
          <w:iCs w:val="false"/>
        </w:rPr>
        <w:t xml:space="preserve">Use diffsplice_gene_results.csv (FDR &lt; 0.05) to find genes with a splicing change, then the per-feature table to see which exon or transcript drives it. The comparison column names the condition contrast; only multi-feature genes are tested. It complements rMATS (event-based) and DEXSeq DTU (transcript proportions) as a third, independent view of alternative splicing.</w:t>
      </w:r>
    </w:p>
    <w:p>
      <w:pPr>
        <w:pStyle w:val="Heading2"/>
      </w:pPr>
      <w:r>
        <w:t xml:space="preserve">8.15 Reports - multiqc/ and quarto_report/</w:t>
      </w:r>
    </w:p>
    <w:p>
      <w:pPr>
        <w:spacing w:after="120"/>
      </w:pPr>
      <w:r>
        <w:rPr>
          <w:b w:val="false"/>
          <w:bCs w:val="false"/>
          <w:i w:val="false"/>
          <w:iCs w:val="false"/>
        </w:rPr>
        <w:t xml:space="preserve">multiqc/rnaseq-flow_multiqc_report.html is a single interactive page combining FastQC, fastp, alignment, RSeQC and featureCounts metrics for every sample - the best starting point for run-wide QC and for spotting outlier samples. Samples are shown by their samplesheet id, with a Source FASTQ column mapping each back to the file it came from, and a Software Versions section lists every tool that ran.</w:t>
      </w:r>
    </w:p>
    <w:p>
      <w:pPr>
        <w:spacing w:after="120"/>
      </w:pPr>
      <w:r>
        <w:rPr>
          <w:b w:val="false"/>
          <w:bCs w:val="false"/>
          <w:i w:val="false"/>
          <w:iCs w:val="false"/>
        </w:rPr>
        <w:t xml:space="preserve">quarto_report/analysis_report.html is an interactive Quarto report that brings the run together in one document,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10"/>
              <w:bottom w:type="dxa" w:w="60"/>
              <w:right w:type="dxa" w:w="110"/>
            </w:tcMar>
          </w:tcPr>
          <w:p>
            <w:r>
              <w:rPr>
                <w:b/>
                <w:bCs/>
                <w:color w:val="FFFFFF"/>
                <w:sz w:val="19"/>
                <w:szCs w:val="19"/>
              </w:rPr>
              <w:t xml:space="preserve">Section</w:t>
            </w:r>
          </w:p>
        </w:tc>
        <w:tc>
          <w:tcPr>
            <w:tcW w:type="dxa" w:w="6760"/>
            <w:shd w:fill="1F4E79" w:val="clear"/>
            <w:tcMar>
              <w:top w:type="dxa" w:w="60"/>
              <w:left w:type="dxa" w:w="110"/>
              <w:bottom w:type="dxa" w:w="60"/>
              <w:right w:type="dxa" w:w="110"/>
            </w:tcMar>
          </w:tcPr>
          <w:p>
            <w:r>
              <w:rPr>
                <w:b/>
                <w:bCs/>
                <w:color w:val="FFFFFF"/>
                <w:sz w:val="19"/>
                <w:szCs w:val="19"/>
              </w:rPr>
              <w:t xml:space="preserve">What it holds</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Run overview</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What ran it, what went in, the library layout, the baseline, the aligner, and the reference set with its source and release. A run started from references the pipeline downloaded reports the release exactly; a user-supplied GTF is reported as release not recorded rather than guessed</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Sample design</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Who was compared with whom: conditions, replicate counts and sample ids, with a note if the design is unbalanced or has a batch column the model does not use</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Requested but not performed</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Rendered only when an analysis was asked for and skipped, with the reason</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Quality control</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The MultiQC general statistics, with a link to the full report</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Differential expression</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Per-contrast significant-gene counts, the shrinkage before/after view, interactive volcano and MA plots, PCA, MDS and the top-variable-gene heatmap with dendrograms, a DESeq2-vs-edgeR agreement table, and searchable result tables</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Alternative splicing</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Events per type and contrast, JC against JCEC agreement, a PSI-difference volcano, per-replicate PSI for the top events, a concordance scatter, a results table, and the genes whose splicing changed while their expression did not</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Functional enrichment</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A GSEA dot plot and a gProfiler Manhattan plot, each with a searchable table</w:t>
            </w:r>
          </w:p>
        </w:tc>
      </w:tr>
      <w:tr>
        <w:trPr>
          <w:tblHeader w:val="false"/>
        </w:trPr>
        <w:tc>
          <w:tcPr>
            <w:tcW w:type="dxa" w:w="2600"/>
            <w:shd w:fill="FFFFFF" w:val="clear"/>
            <w:tcMar>
              <w:top w:type="dxa" w:w="60"/>
              <w:left w:type="dxa" w:w="110"/>
              <w:bottom w:type="dxa" w:w="60"/>
              <w:right w:type="dxa" w:w="110"/>
            </w:tcMar>
          </w:tcPr>
          <w:p>
            <w:r>
              <w:rPr>
                <w:b w:val="false"/>
                <w:bCs w:val="false"/>
                <w:color w:val="000000"/>
                <w:sz w:val="19"/>
                <w:szCs w:val="19"/>
              </w:rPr>
              <w:t xml:space="preserve">Files and locations</w:t>
            </w:r>
          </w:p>
        </w:tc>
        <w:tc>
          <w:tcPr>
            <w:tcW w:type="dxa" w:w="6760"/>
            <w:shd w:fill="FFFFFF" w:val="clear"/>
            <w:tcMar>
              <w:top w:type="dxa" w:w="60"/>
              <w:left w:type="dxa" w:w="110"/>
              <w:bottom w:type="dxa" w:w="60"/>
              <w:right w:type="dxa" w:w="110"/>
            </w:tcMar>
          </w:tcPr>
          <w:p>
            <w:r>
              <w:rPr>
                <w:b w:val="false"/>
                <w:bCs w:val="false"/>
                <w:color w:val="000000"/>
                <w:sz w:val="19"/>
                <w:szCs w:val="19"/>
              </w:rPr>
              <w:t xml:space="preserve">Where this run wrote everything, relative to the results directory, as links</w:t>
            </w:r>
          </w:p>
        </w:tc>
      </w:tr>
    </w:tbl>
    <w:p>
      <w:pPr>
        <w:spacing w:after="80"/>
      </w:pPr>
    </w:p>
    <w:p>
      <w:pPr>
        <w:spacing w:after="120"/>
      </w:pPr>
      <w:r>
        <w:rPr>
          <w:b w:val="false"/>
          <w:bCs w:val="false"/>
          <w:i w:val="false"/>
          <w:iCs w:val="false"/>
        </w:rPr>
        <w:t xml:space="preserve">Sections for stages that did not run are omitted. The splicing section prints two things above its results that the result files cannot show: rMATS is invoked without strand information, so a run configured as stranded is flagged as having been analysed unstranded, and a design with fewer than three replicates in any group is flagged because rMATS estimates variability from those replicates.</w:t>
      </w:r>
    </w:p>
    <w:p>
      <w:pPr>
        <w:pStyle w:val="Heading2"/>
      </w:pPr>
      <w:r>
        <w:t xml:space="preserve">8.16 Redrawing and adapting figures - reproduce/</w:t>
      </w:r>
    </w:p>
    <w:p>
      <w:pPr>
        <w:spacing w:after="120"/>
      </w:pPr>
      <w:r>
        <w:rPr>
          <w:b w:val="false"/>
          <w:bCs w:val="false"/>
          <w:i w:val="false"/>
          <w:iCs w:val="false"/>
        </w:rPr>
        <w:t xml:space="preserve">Every figure the pipeline publishes can be redrawn, and adapted, from the results directory alone: no rerunning, no access to the original compute, no digging through work/. Each analysis output directory (deseq2_output/, edger_output/, gsea_output/, gprofiler_output/) carries a reproduce/ subfolder holding a standalone R script per figure type, gzipped copies of the tables behind each figure, and the R objects a plot genuinely needs, always the smallest that will do. The parent folder is for reading and reproduce/ is for running: parent CSVs stay uncompressed so they open by double-click, while the reproduce/ copies are gzipped, which R reads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val="clear"/>
            <w:tcMar>
              <w:top w:type="dxa" w:w="60"/>
              <w:left w:type="dxa" w:w="110"/>
              <w:bottom w:type="dxa" w:w="60"/>
              <w:right w:type="dxa" w:w="110"/>
            </w:tcMar>
          </w:tcPr>
          <w:p>
            <w:r>
              <w:rPr>
                <w:b/>
                <w:bCs/>
                <w:color w:val="FFFFFF"/>
                <w:sz w:val="19"/>
                <w:szCs w:val="19"/>
              </w:rPr>
              <w:t xml:space="preserve">In deseq2_output/reproduce/</w:t>
            </w:r>
          </w:p>
        </w:tc>
        <w:tc>
          <w:tcPr>
            <w:tcW w:type="dxa" w:w="5960"/>
            <w:shd w:fill="1F4E79" w:val="clear"/>
            <w:tcMar>
              <w:top w:type="dxa" w:w="60"/>
              <w:left w:type="dxa" w:w="110"/>
              <w:bottom w:type="dxa" w:w="60"/>
              <w:right w:type="dxa" w:w="110"/>
            </w:tcMar>
          </w:tcPr>
          <w:p>
            <w:r>
              <w:rPr>
                <w:b/>
                <w:bCs/>
                <w:color w:val="FFFFFF"/>
                <w:sz w:val="19"/>
                <w:szCs w:val="19"/>
              </w:rPr>
              <w:t xml:space="preserve">Redraws</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pca_plot.R  +  pca_data.csv.gz</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PCA</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volcano.R, shrinkage_ma.R  +  deseq2_results_&lt;A&gt;_vs_&lt;B&gt;.csv.gz</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per-contrast volcano and shrinkage plots; the CSV carries both the shrunken and MLE fold changes</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maplot.R  +  deseq2_results_&lt;A&gt;_vs_&lt;B&gt;.rds</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per-contrast MA plot, from the saved DESeq2 results object</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heatmap_top_var.R  +  heatmap_top_var.csv.gz, heatmap_top_var_annotation.csv.gz</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top-variable-gene heatmap</w:t>
            </w:r>
          </w:p>
        </w:tc>
      </w:tr>
    </w:tbl>
    <w:p>
      <w:pPr>
        <w:spacing w:after="80"/>
      </w:pPr>
    </w:p>
    <w:p>
      <w:pPr>
        <w:spacing w:after="120"/>
      </w:pPr>
      <w:r>
        <w:rPr>
          <w:b w:val="false"/>
          <w:bCs w:val="false"/>
          <w:i w:val="false"/>
          <w:iCs w:val="false"/>
        </w:rPr>
        <w:t xml:space="preserve">The scripts are written to be changed, not merely run. Contrast, cutoffs, colours and figure dimensions are named constants in the first lines, so adjusting a legend does not mean reading a ggplot chain. Run one from a terminal with Rscript, or in RStudio via Session &gt; Set Working Directory &gt; To Source File Location, then Source. Regenerated figures are prefixed repro_ and get a matching .info.txt recording the settings used and the environment that produced them, so a regenerated figure is never mistaken for the pipeline's own once it leaves the folder.</w:t>
      </w:r>
    </w:p>
    <w:p>
      <w:pPr>
        <w:pBdr>
          <w:left w:val="single" w:color="E0A800" w:sz="18" w:space="6"/>
        </w:pBdr>
        <w:shd w:fill="FFF4CE" w:val="clear"/>
        <w:spacing w:after="140" w:before="80"/>
        <w:ind w:left="160"/>
      </w:pPr>
      <w:r>
        <w:rPr>
          <w:b/>
          <w:bCs/>
        </w:rPr>
        <w:t xml:space="preserve">Note  </w:t>
      </w:r>
      <w:r>
        <w:t xml:space="preserve">isoform_switch/ is outside these conventions. IsoformSwitchAnalyzeR writes its own figures, so they are PNG-only and have no reproduce/ folder.</w:t>
      </w:r>
    </w:p>
    <w:p>
      <w:pPr>
        <w:pStyle w:val="Heading2"/>
      </w:pPr>
      <w:r>
        <w:t xml:space="preserve">8.17 Execution metadata and provenance - pipeline_info/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60"/>
              <w:left w:type="dxa" w:w="110"/>
              <w:bottom w:type="dxa" w:w="60"/>
              <w:right w:type="dxa" w:w="110"/>
            </w:tcMar>
          </w:tcPr>
          <w:p>
            <w:r>
              <w:rPr>
                <w:b/>
                <w:bCs/>
                <w:color w:val="FFFFFF"/>
                <w:sz w:val="19"/>
                <w:szCs w:val="19"/>
              </w:rPr>
              <w:t xml:space="preserve">File</w:t>
            </w:r>
          </w:p>
        </w:tc>
        <w:tc>
          <w:tcPr>
            <w:tcW w:type="dxa" w:w="6360"/>
            <w:shd w:fill="1F4E79" w:val="clear"/>
            <w:tcMar>
              <w:top w:type="dxa" w:w="60"/>
              <w:left w:type="dxa" w:w="110"/>
              <w:bottom w:type="dxa" w:w="60"/>
              <w:right w:type="dxa" w:w="110"/>
            </w:tcMar>
          </w:tcPr>
          <w:p>
            <w:r>
              <w:rPr>
                <w:b/>
                <w:bCs/>
                <w:color w:val="FFFFFF"/>
                <w:sz w:val="19"/>
                <w:szCs w:val="19"/>
              </w:rPr>
              <w:t xml:space="preserve">Contents</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run_manifest.json</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How this run was configured, machine-readable: pipeline version and commit, the command line, the aligner, the baseline, the design, the samples per condition, and the reference set with its release where known. It is the source of the report's Run overview</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run_summary.html</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Written on completion or failure: status, duration, links to the reports and result directories, and a per-process table of job time, peak memory and CPU usage. A concise version is also printed to the console</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software_versions_mqc.yml</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Every tool and version collected at run time, the same table MultiQC shows</w:t>
            </w:r>
          </w:p>
        </w:tc>
      </w:tr>
      <w:tr>
        <w:trPr>
          <w:tblHeader w:val="false"/>
        </w:trPr>
        <w:tc>
          <w:tcPr>
            <w:tcW w:type="dxa" w:w="3000"/>
            <w:shd w:fill="FFFFFF" w:val="clear"/>
            <w:tcMar>
              <w:top w:type="dxa" w:w="60"/>
              <w:left w:type="dxa" w:w="110"/>
              <w:bottom w:type="dxa" w:w="60"/>
              <w:right w:type="dxa" w:w="110"/>
            </w:tcMar>
          </w:tcPr>
          <w:p>
            <w:r>
              <w:rPr>
                <w:b w:val="false"/>
                <w:bCs w:val="false"/>
                <w:color w:val="000000"/>
                <w:sz w:val="19"/>
                <w:szCs w:val="19"/>
              </w:rPr>
              <w:t xml:space="preserve">execution_report_*.html, execution_timeline_*.html, execution_trace_*.txt</w:t>
            </w:r>
          </w:p>
        </w:tc>
        <w:tc>
          <w:tcPr>
            <w:tcW w:type="dxa" w:w="6360"/>
            <w:shd w:fill="FFFFFF" w:val="clear"/>
            <w:tcMar>
              <w:top w:type="dxa" w:w="60"/>
              <w:left w:type="dxa" w:w="110"/>
              <w:bottom w:type="dxa" w:w="60"/>
              <w:right w:type="dxa" w:w="110"/>
            </w:tcMar>
          </w:tcPr>
          <w:p>
            <w:r>
              <w:rPr>
                <w:b w:val="false"/>
                <w:bCs w:val="false"/>
                <w:color w:val="000000"/>
                <w:sz w:val="19"/>
                <w:szCs w:val="19"/>
              </w:rPr>
              <w:t xml:space="preserve">Nextflow's own per-run resource report, timeline and trace, timestamped per launch</w:t>
            </w:r>
          </w:p>
        </w:tc>
      </w:tr>
    </w:tbl>
    <w:p>
      <w:pPr>
        <w:spacing w:after="80"/>
      </w:pPr>
    </w:p>
    <w:p>
      <w:pPr>
        <w:spacing w:after="120"/>
      </w:pPr>
      <w:r>
        <w:rPr>
          <w:b w:val="false"/>
          <w:bCs w:val="false"/>
          <w:i w:val="false"/>
          <w:iCs w:val="false"/>
        </w:rPr>
        <w:t xml:space="preserve">A results directory can outlive the memory of how it was made. run_manifest.json and reference_metadata.json (section 4) between them let a reader of the results alone say what was aligned, against which annotation release, with which baseline, and by which version of the pipeline.</w:t>
      </w:r>
    </w:p>
    <w:p>
      <w:pPr>
        <w:pStyle w:val="Heading1"/>
      </w:pPr>
      <w:r>
        <w:t xml:space="preserve">9. Choosing an aligner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460"/>
      </w:tblGrid>
      <w:tr>
        <w:trPr>
          <w:tblHeader/>
        </w:trPr>
        <w:tc>
          <w:tcPr>
            <w:tcW w:type="dxa" w:w="1500"/>
            <w:shd w:fill="1F4E79" w:val="clear"/>
            <w:tcMar>
              <w:top w:type="dxa" w:w="60"/>
              <w:left w:type="dxa" w:w="110"/>
              <w:bottom w:type="dxa" w:w="60"/>
              <w:right w:type="dxa" w:w="110"/>
            </w:tcMar>
          </w:tcPr>
          <w:p>
            <w:r>
              <w:rPr>
                <w:b/>
                <w:bCs/>
                <w:color w:val="FFFFFF"/>
                <w:sz w:val="19"/>
                <w:szCs w:val="19"/>
              </w:rPr>
              <w:t xml:space="preserve">Aligner</w:t>
            </w:r>
          </w:p>
        </w:tc>
        <w:tc>
          <w:tcPr>
            <w:tcW w:type="dxa" w:w="1400"/>
            <w:shd w:fill="1F4E79" w:val="clear"/>
            <w:tcMar>
              <w:top w:type="dxa" w:w="60"/>
              <w:left w:type="dxa" w:w="110"/>
              <w:bottom w:type="dxa" w:w="60"/>
              <w:right w:type="dxa" w:w="110"/>
            </w:tcMar>
          </w:tcPr>
          <w:p>
            <w:r>
              <w:rPr>
                <w:b/>
                <w:bCs/>
                <w:color w:val="FFFFFF"/>
                <w:sz w:val="19"/>
                <w:szCs w:val="19"/>
              </w:rPr>
              <w:t xml:space="preserve">Type</w:t>
            </w:r>
          </w:p>
        </w:tc>
        <w:tc>
          <w:tcPr>
            <w:tcW w:type="dxa" w:w="6460"/>
            <w:shd w:fill="1F4E79" w:val="clear"/>
            <w:tcMar>
              <w:top w:type="dxa" w:w="60"/>
              <w:left w:type="dxa" w:w="110"/>
              <w:bottom w:type="dxa" w:w="60"/>
              <w:right w:type="dxa" w:w="110"/>
            </w:tcMar>
          </w:tcPr>
          <w:p>
            <w:r>
              <w:rPr>
                <w:b/>
                <w:bCs/>
                <w:color w:val="FFFFFF"/>
                <w:sz w:val="19"/>
                <w:szCs w:val="19"/>
              </w:rPr>
              <w:t xml:space="preserve">Best for / downstream stages</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STAR</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Genome</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Default. Full analysis: QC, featureCounts, DESeq2/edgeR, rMATS, STAR-Fusion, diffSplice, enrichment</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HISAT2</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Genome</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Lighter-weight genome alignment: QC, featureCounts, DESeq2/edgeR, rMATS, diffSplice, enrichment</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Salmon</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Pseudo</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Transcript quant; DESeq2/edgeR + enrichment via tximport; isoform switching, DTU and diffSplice</w:t>
            </w:r>
          </w:p>
        </w:tc>
      </w:tr>
      <w:tr>
        <w:trPr>
          <w:tblHeader w:val="false"/>
        </w:trPr>
        <w:tc>
          <w:tcPr>
            <w:tcW w:type="dxa" w:w="1500"/>
            <w:shd w:fill="FFFFFF" w:val="clear"/>
            <w:tcMar>
              <w:top w:type="dxa" w:w="60"/>
              <w:left w:type="dxa" w:w="110"/>
              <w:bottom w:type="dxa" w:w="60"/>
              <w:right w:type="dxa" w:w="110"/>
            </w:tcMar>
          </w:tcPr>
          <w:p>
            <w:r>
              <w:rPr>
                <w:b w:val="false"/>
                <w:bCs w:val="false"/>
                <w:color w:val="000000"/>
                <w:sz w:val="19"/>
                <w:szCs w:val="19"/>
              </w:rPr>
              <w:t xml:space="preserve">Kallisto</w:t>
            </w:r>
          </w:p>
        </w:tc>
        <w:tc>
          <w:tcPr>
            <w:tcW w:type="dxa" w:w="1400"/>
            <w:shd w:fill="FFFFFF" w:val="clear"/>
            <w:tcMar>
              <w:top w:type="dxa" w:w="60"/>
              <w:left w:type="dxa" w:w="110"/>
              <w:bottom w:type="dxa" w:w="60"/>
              <w:right w:type="dxa" w:w="110"/>
            </w:tcMar>
          </w:tcPr>
          <w:p>
            <w:r>
              <w:rPr>
                <w:b w:val="false"/>
                <w:bCs w:val="false"/>
                <w:color w:val="000000"/>
                <w:sz w:val="19"/>
                <w:szCs w:val="19"/>
              </w:rPr>
              <w:t xml:space="preserve">Pseudo</w:t>
            </w:r>
          </w:p>
        </w:tc>
        <w:tc>
          <w:tcPr>
            <w:tcW w:type="dxa" w:w="6460"/>
            <w:shd w:fill="FFFFFF" w:val="clear"/>
            <w:tcMar>
              <w:top w:type="dxa" w:w="60"/>
              <w:left w:type="dxa" w:w="110"/>
              <w:bottom w:type="dxa" w:w="60"/>
              <w:right w:type="dxa" w:w="110"/>
            </w:tcMar>
          </w:tcPr>
          <w:p>
            <w:r>
              <w:rPr>
                <w:b w:val="false"/>
                <w:bCs w:val="false"/>
                <w:color w:val="000000"/>
                <w:sz w:val="19"/>
                <w:szCs w:val="19"/>
              </w:rPr>
              <w:t xml:space="preserve">Transcript quant; DESeq2/edgeR + enrichment via tximport; DTU and diffSplice</w:t>
            </w:r>
          </w:p>
        </w:tc>
      </w:tr>
    </w:tbl>
    <w:p>
      <w:pPr>
        <w:spacing w:after="80"/>
      </w:pPr>
    </w:p>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60"/>
              <w:left w:type="dxa" w:w="110"/>
              <w:bottom w:type="dxa" w:w="60"/>
              <w:right w:type="dxa" w:w="110"/>
            </w:tcMar>
          </w:tcPr>
          <w:p>
            <w:r>
              <w:rPr>
                <w:b/>
                <w:bCs/>
                <w:color w:val="FFFFFF"/>
                <w:sz w:val="19"/>
                <w:szCs w:val="19"/>
              </w:rPr>
              <w:t xml:space="preserve">Symptom</w:t>
            </w:r>
          </w:p>
        </w:tc>
        <w:tc>
          <w:tcPr>
            <w:tcW w:type="dxa" w:w="5760"/>
            <w:shd w:fill="1F4E79" w:val="clear"/>
            <w:tcMar>
              <w:top w:type="dxa" w:w="60"/>
              <w:left w:type="dxa" w:w="110"/>
              <w:bottom w:type="dxa" w:w="60"/>
              <w:right w:type="dxa" w:w="110"/>
            </w:tcMar>
          </w:tcPr>
          <w:p>
            <w:r>
              <w:rPr>
                <w:b/>
                <w:bCs/>
                <w:color w:val="FFFFFF"/>
                <w:sz w:val="19"/>
                <w:szCs w:val="19"/>
              </w:rPr>
              <w:t xml:space="preserve">Likely cause / fix</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"Please specify an input samplesheet"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No --input, --download_refs or --build_indices given</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"STAR index not provided"</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Pass the --&lt;aligner&gt;_index matching your --aligner</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"Cannot find any reads matching"</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FASTQ paths in the samplesheet are wrong or relative to the wrong directory</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STAR-Fusion produced nothing</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--ctat_lib not set, or not pointing at the extracted ctat_genome_lib_build_dir</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deseq2_output/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Needs a CSV samplesheet; for Salmon/Kallisto also needs --gtf for the tximport map</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dtu_output/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--dtu needs --aligner salmon or kallisto and --gtf; it is skipped on STAR/HISAT2</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No diffsplice_output/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--diffsplice needs --gtf (for exon counting and the transcript-to-gene map)</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Out-of-memory kills</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Raise --max_memory; STAR genome indexing needs ~38 GB</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Container pull failures</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Check internet / Docker; on HPC prefer -profile singularity</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"--reference_level 'X' is not a condition in the samplesheet"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named baseline does not match a condition value exactly (case matters); the message lists the conditions found</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Wave build or pull fails in a secure environment</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The environment has no outbound network. Use the offline bundle with -profile tre (section 6.7); nothing about Wave can be tuned around it</w:t>
            </w:r>
          </w:p>
        </w:tc>
      </w:tr>
      <w:tr>
        <w:trPr>
          <w:tblHeader w:val="false"/>
        </w:trPr>
        <w:tc>
          <w:tcPr>
            <w:tcW w:type="dxa" w:w="3600"/>
            <w:shd w:fill="FFFFFF" w:val="clear"/>
            <w:tcMar>
              <w:top w:type="dxa" w:w="60"/>
              <w:left w:type="dxa" w:w="110"/>
              <w:bottom w:type="dxa" w:w="60"/>
              <w:right w:type="dxa" w:w="110"/>
            </w:tcMar>
          </w:tcPr>
          <w:p>
            <w:r>
              <w:rPr>
                <w:b w:val="false"/>
                <w:bCs w:val="false"/>
                <w:color w:val="000000"/>
                <w:sz w:val="19"/>
                <w:szCs w:val="19"/>
              </w:rPr>
              <w:t xml:space="preserve">Splicing results disagree with an older run</w:t>
            </w:r>
          </w:p>
        </w:tc>
        <w:tc>
          <w:tcPr>
            <w:tcW w:type="dxa" w:w="5760"/>
            <w:shd w:fill="FFFFFF" w:val="clear"/>
            <w:tcMar>
              <w:top w:type="dxa" w:w="60"/>
              <w:left w:type="dxa" w:w="110"/>
              <w:bottom w:type="dxa" w:w="60"/>
              <w:right w:type="dxa" w:w="110"/>
            </w:tcMar>
          </w:tcPr>
          <w:p>
            <w:r>
              <w:rPr>
                <w:b w:val="false"/>
                <w:bCs w:val="false"/>
                <w:color w:val="000000"/>
                <w:sz w:val="19"/>
                <w:szCs w:val="19"/>
              </w:rPr>
              <w:t xml:space="preserve">Runs before 1.6.0 oriented rMATS contrasts the other way (section 8.10); the sign of IncLevelDifference is inverted across that boundary</w:t>
            </w:r>
          </w:p>
        </w:tc>
      </w:tr>
    </w:tbl>
    <w:p>
      <w:pPr>
        <w:spacing w:after="80"/>
      </w:pPr>
    </w:p>
    <w:p>
      <w:pPr>
        <w:spacing w:after="120"/>
      </w:pPr>
      <w:r>
        <w:rPr>
          <w:b w:val="false"/>
          <w:bCs w:val="false"/>
          <w:i w:val="false"/>
          <w:iCs w:val="false"/>
        </w:rPr>
        <w:t xml:space="preserve">Execution reports in &lt;outdir&gt;/pipeline_info/ show which process failed and why. After editing the pipeline, re-validate its structure with nextflow run ... -stub-run.</w:t>
      </w:r>
    </w:p>
    <w:p>
      <w:pPr>
        <w:pStyle w:val="Heading1"/>
      </w:pPr>
      <w:r>
        <w:t xml:space="preserve">11. Further reading</w:t>
      </w:r>
    </w:p>
    <w:p>
      <w:pPr>
        <w:spacing w:after="120"/>
      </w:pPr>
      <w:r>
        <w:rPr>
          <w:b w:val="false"/>
          <w:bCs w:val="false"/>
          <w:i w:val="false"/>
          <w:iCs w:val="false"/>
        </w:rPr>
        <w:t xml:space="preserve">This guide is generated from the pipeline repository and travels well on its own. The documents below live at the top level of that repository, and each is the authoritative version of what is summarised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val="clear"/>
            <w:tcMar>
              <w:top w:type="dxa" w:w="60"/>
              <w:left w:type="dxa" w:w="110"/>
              <w:bottom w:type="dxa" w:w="60"/>
              <w:right w:type="dxa" w:w="110"/>
            </w:tcMar>
          </w:tcPr>
          <w:p>
            <w:r>
              <w:rPr>
                <w:b/>
                <w:bCs/>
                <w:color w:val="FFFFFF"/>
                <w:sz w:val="19"/>
                <w:szCs w:val="19"/>
              </w:rPr>
              <w:t xml:space="preserve">Document</w:t>
            </w:r>
          </w:p>
        </w:tc>
        <w:tc>
          <w:tcPr>
            <w:tcW w:type="dxa" w:w="5960"/>
            <w:shd w:fill="1F4E79" w:val="clear"/>
            <w:tcMar>
              <w:top w:type="dxa" w:w="60"/>
              <w:left w:type="dxa" w:w="110"/>
              <w:bottom w:type="dxa" w:w="60"/>
              <w:right w:type="dxa" w:w="110"/>
            </w:tcMar>
          </w:tcPr>
          <w:p>
            <w:r>
              <w:rPr>
                <w:b/>
                <w:bCs/>
                <w:color w:val="FFFFFF"/>
                <w:sz w:val="19"/>
                <w:szCs w:val="19"/>
              </w:rPr>
              <w:t xml:space="preserve">What it adds</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rnaseq-flow_Example_Analysis.md</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A complete worked example on a public dataset (GSE151251), from FASTQ download through to results, ending in an expected biological signature you can check your own setup against. The best way to confirm an installation works</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README.md</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Overview, quick start and the full parameter reference</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USAGE.md</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long-form version of sections 4 to 7 here, including cluster execution, resource tuning and troubleshooting</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OUTPUTS.md</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long-form version of section 8, file by file</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CITATIONS.md</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publication to cite for every tool, and a methods paragraph to adapt for a manuscript</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CHANGELOG.md</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What changed in each release, and what breaks</w:t>
            </w:r>
          </w:p>
        </w:tc>
      </w:tr>
      <w:tr>
        <w:trPr>
          <w:tblHeader w:val="false"/>
        </w:trPr>
        <w:tc>
          <w:tcPr>
            <w:tcW w:type="dxa" w:w="3400"/>
            <w:shd w:fill="FFFFFF" w:val="clear"/>
            <w:tcMar>
              <w:top w:type="dxa" w:w="60"/>
              <w:left w:type="dxa" w:w="110"/>
              <w:bottom w:type="dxa" w:w="60"/>
              <w:right w:type="dxa" w:w="110"/>
            </w:tcMar>
          </w:tcPr>
          <w:p>
            <w:r>
              <w:rPr>
                <w:b w:val="false"/>
                <w:bCs w:val="false"/>
                <w:color w:val="000000"/>
                <w:sz w:val="19"/>
                <w:szCs w:val="19"/>
              </w:rPr>
              <w:t xml:space="preserve">overview.html</w:t>
            </w:r>
          </w:p>
        </w:tc>
        <w:tc>
          <w:tcPr>
            <w:tcW w:type="dxa" w:w="5960"/>
            <w:shd w:fill="FFFFFF" w:val="clear"/>
            <w:tcMar>
              <w:top w:type="dxa" w:w="60"/>
              <w:left w:type="dxa" w:w="110"/>
              <w:bottom w:type="dxa" w:w="60"/>
              <w:right w:type="dxa" w:w="110"/>
            </w:tcMar>
          </w:tcPr>
          <w:p>
            <w:r>
              <w:rPr>
                <w:b w:val="false"/>
                <w:bCs w:val="false"/>
                <w:color w:val="000000"/>
                <w:sz w:val="19"/>
                <w:szCs w:val="19"/>
              </w:rPr>
              <w:t xml:space="preserve">The workflow as an interactive diagram: a DAG view and a metro-map view</w:t>
            </w:r>
          </w:p>
        </w:tc>
      </w:tr>
    </w:tbl>
    <w:p>
      <w:pPr>
        <w:spacing w:after="80"/>
      </w:pPr>
    </w:p>
    <w:p>
      <w:pPr>
        <w:spacing w:after="120"/>
      </w:pPr>
      <w:r>
        <w:rPr>
          <w:b/>
          <w:bCs/>
        </w:rPr>
        <w:t xml:space="preserve">This document is generated. </w:t>
      </w:r>
      <w:r>
        <w:t xml:space="preserve">It is built from docs/build_user_guide.js in the repository, so edits made in Word are lost the next time it is rebuilt. Change the generator instead. The version on the title page is read from the pipeline manifest, so it always matches the release it documents.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rnaseq-flow</w:t>
    </w:r>
    <w:r>
      <w:rPr>
        <w:color w:val="808080"/>
        <w:sz w:val="18"/>
        <w:szCs w:val="18"/>
      </w:rPr>
      <w:t xml:space="preserve">	User Guide &amp; Output Interpretation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9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60298f960677f1ea6cc8180492c08754a537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rnaseq-flow User Guide</dc:title>
  <dc:creator>rnaseq-flow</dc:creator>
  <cp:lastModifiedBy>Un-named</cp:lastModifiedBy>
  <cp:revision>1</cp:revision>
  <dcterms:created xsi:type="dcterms:W3CDTF">2026-10-18T01:19:05.609Z</dcterms:created>
  <dcterms:modified xsi:type="dcterms:W3CDTF">2026-10-18T01:19:05.612Z</dcterms:modified>
</cp:coreProperties>
</file>

<file path=docProps/custom.xml><?xml version="1.0" encoding="utf-8"?>
<Properties xmlns="http://schemas.openxmlformats.org/officeDocument/2006/custom-properties" xmlns:vt="http://schemas.openxmlformats.org/officeDocument/2006/docPropsVTypes"/>
</file>