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59E25" w14:textId="0346662E" w:rsidR="00B56D2E" w:rsidRDefault="00A00046">
      <w:pPr>
        <w:spacing w:after="0" w:line="259" w:lineRule="auto"/>
        <w:ind w:firstLine="0"/>
        <w:jc w:val="center"/>
      </w:pPr>
      <w:r>
        <w:rPr>
          <w:sz w:val="48"/>
        </w:rPr>
        <w:t>World Builder</w:t>
      </w:r>
    </w:p>
    <w:p w14:paraId="2F4096C2" w14:textId="3ECA94E1" w:rsidR="00B56D2E" w:rsidRDefault="00B56D2E">
      <w:pPr>
        <w:pStyle w:val="Heading1"/>
        <w:spacing w:after="197"/>
        <w:ind w:right="168"/>
      </w:pPr>
    </w:p>
    <w:tbl>
      <w:tblPr>
        <w:tblStyle w:val="TableGrid"/>
        <w:tblW w:w="10299" w:type="dxa"/>
        <w:tblInd w:w="-2768" w:type="dxa"/>
        <w:tblCellMar>
          <w:top w:w="32" w:type="dxa"/>
          <w:left w:w="0" w:type="dxa"/>
          <w:bottom w:w="0" w:type="dxa"/>
          <w:right w:w="0" w:type="dxa"/>
        </w:tblCellMar>
        <w:tblLook w:val="04A0" w:firstRow="1" w:lastRow="0" w:firstColumn="1" w:lastColumn="0" w:noHBand="0" w:noVBand="1"/>
      </w:tblPr>
      <w:tblGrid>
        <w:gridCol w:w="4692"/>
        <w:gridCol w:w="5607"/>
      </w:tblGrid>
      <w:tr w:rsidR="00F1389A" w14:paraId="18F22196" w14:textId="77777777" w:rsidTr="00F1389A">
        <w:trPr>
          <w:trHeight w:val="653"/>
        </w:trPr>
        <w:tc>
          <w:tcPr>
            <w:tcW w:w="4692" w:type="dxa"/>
            <w:tcBorders>
              <w:top w:val="nil"/>
              <w:left w:val="nil"/>
              <w:bottom w:val="nil"/>
              <w:right w:val="nil"/>
            </w:tcBorders>
          </w:tcPr>
          <w:p w14:paraId="5BE4557C" w14:textId="032225E4" w:rsidR="00F1389A" w:rsidRDefault="00F1389A" w:rsidP="00A00046">
            <w:pPr>
              <w:spacing w:line="259" w:lineRule="auto"/>
              <w:ind w:left="800" w:firstLine="0"/>
              <w:jc w:val="center"/>
            </w:pPr>
            <w:r>
              <w:rPr>
                <w:sz w:val="22"/>
              </w:rPr>
              <w:t>Nicholas Akin</w:t>
            </w:r>
          </w:p>
          <w:p w14:paraId="667D65E6" w14:textId="317C0EAB" w:rsidR="00F1389A" w:rsidRDefault="00F1389A" w:rsidP="00A00046">
            <w:pPr>
              <w:spacing w:after="0" w:line="243" w:lineRule="auto"/>
              <w:ind w:left="720" w:hanging="266"/>
              <w:jc w:val="center"/>
              <w:rPr>
                <w:i/>
              </w:rPr>
            </w:pPr>
            <w:r>
              <w:rPr>
                <w:i/>
              </w:rPr>
              <w:t xml:space="preserve">The University of Texas at Arlington </w:t>
            </w:r>
          </w:p>
          <w:p w14:paraId="45A1D5DE" w14:textId="4FDC9176" w:rsidR="00F1389A" w:rsidRPr="00A00046" w:rsidRDefault="00F1389A" w:rsidP="00A00046">
            <w:pPr>
              <w:spacing w:after="0" w:line="243" w:lineRule="auto"/>
              <w:ind w:left="720" w:hanging="266"/>
              <w:jc w:val="center"/>
              <w:rPr>
                <w:i/>
              </w:rPr>
            </w:pPr>
            <w:r>
              <w:rPr>
                <w:i/>
              </w:rPr>
              <w:t>nma1810@mavs.uta.edu</w:t>
            </w:r>
          </w:p>
        </w:tc>
        <w:tc>
          <w:tcPr>
            <w:tcW w:w="5607" w:type="dxa"/>
            <w:tcBorders>
              <w:top w:val="nil"/>
              <w:left w:val="nil"/>
              <w:bottom w:val="nil"/>
              <w:right w:val="nil"/>
            </w:tcBorders>
          </w:tcPr>
          <w:p w14:paraId="63692F2D" w14:textId="0AC729DC" w:rsidR="00F1389A" w:rsidRDefault="00F1389A" w:rsidP="00F1389A">
            <w:pPr>
              <w:spacing w:line="259" w:lineRule="auto"/>
              <w:ind w:left="800" w:firstLine="0"/>
              <w:jc w:val="center"/>
            </w:pPr>
            <w:r>
              <w:rPr>
                <w:sz w:val="22"/>
              </w:rPr>
              <w:t>Angel</w:t>
            </w:r>
            <w:r>
              <w:rPr>
                <w:sz w:val="22"/>
              </w:rPr>
              <w:t xml:space="preserve"> </w:t>
            </w:r>
            <w:r>
              <w:rPr>
                <w:sz w:val="22"/>
              </w:rPr>
              <w:t>Solis</w:t>
            </w:r>
          </w:p>
          <w:p w14:paraId="5543CE7A" w14:textId="77777777" w:rsidR="00F1389A" w:rsidRDefault="00F1389A" w:rsidP="00F1389A">
            <w:pPr>
              <w:spacing w:after="0" w:line="243" w:lineRule="auto"/>
              <w:ind w:left="720" w:hanging="266"/>
              <w:jc w:val="center"/>
              <w:rPr>
                <w:i/>
              </w:rPr>
            </w:pPr>
            <w:r>
              <w:rPr>
                <w:i/>
              </w:rPr>
              <w:t xml:space="preserve">The University of Texas at Arlington </w:t>
            </w:r>
          </w:p>
          <w:p w14:paraId="62E73613" w14:textId="110BB54B" w:rsidR="00F1389A" w:rsidRDefault="00F1389A" w:rsidP="00F1389A">
            <w:pPr>
              <w:spacing w:after="0" w:line="259" w:lineRule="auto"/>
              <w:ind w:left="923" w:right="469" w:firstLine="431"/>
              <w:jc w:val="center"/>
            </w:pPr>
            <w:r>
              <w:rPr>
                <w:i/>
              </w:rPr>
              <w:t>&lt;email&gt;</w:t>
            </w:r>
            <w:r>
              <w:rPr>
                <w:i/>
              </w:rPr>
              <w:t>@mavs.uta.edu</w:t>
            </w:r>
            <w:r>
              <w:t xml:space="preserve"> </w:t>
            </w:r>
          </w:p>
        </w:tc>
      </w:tr>
      <w:tr w:rsidR="00F1389A" w14:paraId="1F0B276E" w14:textId="77777777" w:rsidTr="00F1389A">
        <w:trPr>
          <w:trHeight w:val="653"/>
        </w:trPr>
        <w:tc>
          <w:tcPr>
            <w:tcW w:w="4692" w:type="dxa"/>
            <w:tcBorders>
              <w:top w:val="nil"/>
              <w:left w:val="nil"/>
              <w:bottom w:val="nil"/>
              <w:right w:val="nil"/>
            </w:tcBorders>
            <w:vAlign w:val="bottom"/>
          </w:tcPr>
          <w:p w14:paraId="0B59E9C4" w14:textId="4D78CFF8" w:rsidR="00F1389A" w:rsidRDefault="00F1389A">
            <w:pPr>
              <w:spacing w:after="0" w:line="259" w:lineRule="auto"/>
              <w:ind w:left="469" w:right="923" w:firstLine="431"/>
              <w:jc w:val="left"/>
            </w:pPr>
          </w:p>
        </w:tc>
        <w:tc>
          <w:tcPr>
            <w:tcW w:w="5607" w:type="dxa"/>
            <w:tcBorders>
              <w:top w:val="nil"/>
              <w:left w:val="nil"/>
              <w:bottom w:val="nil"/>
              <w:right w:val="nil"/>
            </w:tcBorders>
            <w:vAlign w:val="bottom"/>
          </w:tcPr>
          <w:p w14:paraId="0B8E8E4E" w14:textId="0A14727D" w:rsidR="00F1389A" w:rsidRDefault="00F1389A">
            <w:pPr>
              <w:spacing w:after="0" w:line="259" w:lineRule="auto"/>
              <w:ind w:left="469" w:right="923" w:firstLine="431"/>
              <w:jc w:val="left"/>
            </w:pPr>
          </w:p>
        </w:tc>
      </w:tr>
    </w:tbl>
    <w:p w14:paraId="09F46707" w14:textId="77777777" w:rsidR="00B56D2E" w:rsidRDefault="00B56D2E">
      <w:pPr>
        <w:sectPr w:rsidR="00B56D2E">
          <w:pgSz w:w="12240" w:h="15840"/>
          <w:pgMar w:top="1100" w:right="3747" w:bottom="1468" w:left="3747" w:header="720" w:footer="720" w:gutter="0"/>
          <w:cols w:space="720"/>
        </w:sectPr>
      </w:pPr>
    </w:p>
    <w:p w14:paraId="002136A3" w14:textId="77777777" w:rsidR="00B56D2E" w:rsidRDefault="00F1389A">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14:paraId="1539BC72" w14:textId="77777777" w:rsidR="00B56D2E" w:rsidRDefault="00F1389A">
      <w:pPr>
        <w:spacing w:after="368" w:line="216" w:lineRule="auto"/>
        <w:ind w:left="209" w:hanging="10"/>
      </w:pPr>
      <w:r>
        <w:rPr>
          <w:i/>
          <w:sz w:val="18"/>
        </w:rPr>
        <w:t>Index Terms</w:t>
      </w:r>
      <w:r>
        <w:rPr>
          <w:sz w:val="18"/>
        </w:rPr>
        <w:t>—component, formatting, style, styling, insert</w:t>
      </w:r>
    </w:p>
    <w:p w14:paraId="62FF21DA" w14:textId="77777777" w:rsidR="00B56D2E" w:rsidRDefault="00F1389A">
      <w:pPr>
        <w:pStyle w:val="Heading1"/>
        <w:ind w:right="0"/>
      </w:pPr>
      <w:r>
        <w:rPr>
          <w:sz w:val="20"/>
        </w:rPr>
        <w:t>I. I</w:t>
      </w:r>
      <w:r>
        <w:t>NTRODUCTION</w:t>
      </w:r>
    </w:p>
    <w:p w14:paraId="70C2987E" w14:textId="77777777" w:rsidR="00B56D2E" w:rsidRDefault="00F1389A">
      <w:pPr>
        <w:spacing w:after="254"/>
        <w:ind w:left="-15"/>
      </w:pPr>
      <w:r>
        <w:t>This document is a model and instructions for L</w:t>
      </w:r>
      <w:r>
        <w:rPr>
          <w:vertAlign w:val="superscript"/>
        </w:rPr>
        <w:t>A</w:t>
      </w:r>
      <w:r>
        <w:t>T</w:t>
      </w:r>
      <w:r>
        <w:rPr>
          <w:sz w:val="31"/>
          <w:vertAlign w:val="subscript"/>
        </w:rPr>
        <w:t>E</w:t>
      </w:r>
      <w:r>
        <w:t>X. Please observe the conference page limits.</w:t>
      </w:r>
    </w:p>
    <w:p w14:paraId="74610631" w14:textId="77777777" w:rsidR="00B56D2E" w:rsidRDefault="00F1389A">
      <w:pPr>
        <w:pStyle w:val="Heading1"/>
        <w:ind w:right="0"/>
      </w:pPr>
      <w:r>
        <w:rPr>
          <w:sz w:val="20"/>
        </w:rPr>
        <w:t>II. E</w:t>
      </w:r>
      <w:r>
        <w:t xml:space="preserve">ASE OF </w:t>
      </w:r>
      <w:r>
        <w:rPr>
          <w:sz w:val="20"/>
        </w:rPr>
        <w:t>U</w:t>
      </w:r>
      <w:r>
        <w:t>SE</w:t>
      </w:r>
    </w:p>
    <w:p w14:paraId="49377FB5" w14:textId="77777777" w:rsidR="00B56D2E" w:rsidRDefault="00F1389A">
      <w:pPr>
        <w:pStyle w:val="Heading2"/>
        <w:spacing w:after="89"/>
        <w:ind w:left="-5"/>
      </w:pPr>
      <w:r>
        <w:t>A. Maintaining the Integrity of the Specifications</w:t>
      </w:r>
    </w:p>
    <w:p w14:paraId="712B30F9" w14:textId="77777777" w:rsidR="00B56D2E" w:rsidRDefault="00F1389A">
      <w:pPr>
        <w:spacing w:after="266"/>
        <w:ind w:left="-15"/>
      </w:pPr>
      <w:r>
        <w:t xml:space="preserve">The </w:t>
      </w:r>
      <w:proofErr w:type="spellStart"/>
      <w:r>
        <w:t>IEEEtran</w:t>
      </w:r>
      <w:proofErr w:type="spellEnd"/>
      <w:r>
        <w:t xml:space="preserve"> class file is used to format your paper and style the text. All margins, column widths, line spaces, and text fonts are prescribed; please do not alter them. 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102A1B7" w14:textId="77777777" w:rsidR="00B56D2E" w:rsidRDefault="00F1389A">
      <w:pPr>
        <w:pStyle w:val="Heading1"/>
        <w:ind w:right="0"/>
      </w:pPr>
      <w:r>
        <w:rPr>
          <w:sz w:val="20"/>
        </w:rPr>
        <w:t>III. P</w:t>
      </w:r>
      <w:r>
        <w:t xml:space="preserve">REPARE </w:t>
      </w:r>
      <w:r>
        <w:rPr>
          <w:sz w:val="20"/>
        </w:rPr>
        <w:t>Y</w:t>
      </w:r>
      <w:r>
        <w:t xml:space="preserve">OUR </w:t>
      </w:r>
      <w:r>
        <w:rPr>
          <w:sz w:val="20"/>
        </w:rPr>
        <w:t>P</w:t>
      </w:r>
      <w:r>
        <w:t xml:space="preserve">APER </w:t>
      </w:r>
      <w:r>
        <w:rPr>
          <w:sz w:val="20"/>
        </w:rPr>
        <w:t>B</w:t>
      </w:r>
      <w:r>
        <w:t xml:space="preserve">EFORE </w:t>
      </w:r>
      <w:r>
        <w:rPr>
          <w:sz w:val="20"/>
        </w:rPr>
        <w:t>S</w:t>
      </w:r>
      <w:r>
        <w:t>TYLING</w:t>
      </w:r>
    </w:p>
    <w:p w14:paraId="7D02BAA0" w14:textId="77777777" w:rsidR="00B56D2E" w:rsidRDefault="00F1389A">
      <w:pPr>
        <w:ind w:left="-15"/>
      </w:pPr>
      <w:r>
        <w:t>Before you begin to format your paper, first write and save the content as a separate text file. Complete all content and organizational editing before formatting. Please note sections III-A–III-E below for more information on proofreading, spelling and grammar.</w:t>
      </w:r>
    </w:p>
    <w:p w14:paraId="6CBE8176" w14:textId="77777777" w:rsidR="00B56D2E" w:rsidRDefault="00F1389A">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14:paraId="63797716" w14:textId="77777777" w:rsidR="00B56D2E" w:rsidRDefault="00F1389A">
      <w:pPr>
        <w:spacing w:after="23" w:line="225" w:lineRule="auto"/>
        <w:ind w:left="159" w:firstLine="0"/>
      </w:pPr>
      <w:r>
        <w:rPr>
          <w:sz w:val="16"/>
        </w:rPr>
        <w:t>Identify applicable funding agency here. If none, delete this.</w:t>
      </w:r>
    </w:p>
    <w:p w14:paraId="45DA847F" w14:textId="77777777" w:rsidR="00B56D2E" w:rsidRDefault="00F1389A">
      <w:pPr>
        <w:pStyle w:val="Heading2"/>
        <w:ind w:left="-5"/>
      </w:pPr>
      <w:r>
        <w:t>A. Abbreviations and Acronyms</w:t>
      </w:r>
    </w:p>
    <w:p w14:paraId="6B19DF7D" w14:textId="77777777" w:rsidR="00B56D2E" w:rsidRDefault="00F1389A">
      <w:pPr>
        <w:spacing w:after="90"/>
        <w:ind w:left="-15"/>
      </w:pPr>
      <w:r>
        <w:t xml:space="preserve">Define abbreviations and acronyms the first time they are used in the text, even after they have been defined in the abstract. Abbreviations such as IEEE, SI, MKS, CGS, ac, dc, and </w:t>
      </w:r>
      <w:r>
        <w:t>rms do not have to be defined. Do not use abbreviations in the title or heads unless they are unavoidable.</w:t>
      </w:r>
    </w:p>
    <w:p w14:paraId="5A9FB911" w14:textId="77777777" w:rsidR="00B56D2E" w:rsidRDefault="00F1389A">
      <w:pPr>
        <w:pStyle w:val="Heading2"/>
        <w:ind w:left="-5"/>
      </w:pPr>
      <w:r>
        <w:t>B. Units</w:t>
      </w:r>
    </w:p>
    <w:p w14:paraId="3C8BA85A" w14:textId="77777777" w:rsidR="00B56D2E" w:rsidRDefault="00F1389A">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14:paraId="54C6631B" w14:textId="77777777" w:rsidR="00B56D2E" w:rsidRDefault="00F1389A">
      <w:pPr>
        <w:numPr>
          <w:ilvl w:val="0"/>
          <w:numId w:val="1"/>
        </w:numPr>
        <w:ind w:hanging="201"/>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59D4D78D" w14:textId="77777777" w:rsidR="00B56D2E" w:rsidRDefault="00F1389A">
      <w:pPr>
        <w:numPr>
          <w:ilvl w:val="0"/>
          <w:numId w:val="1"/>
        </w:numPr>
        <w:ind w:hanging="201"/>
      </w:pPr>
      <w:r>
        <w:t>Do not mix complete spellings and abbreviations of units: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out units when they appear in text: “. . . a few </w:t>
      </w:r>
      <w:proofErr w:type="spellStart"/>
      <w:r>
        <w:t>henries</w:t>
      </w:r>
      <w:proofErr w:type="spellEnd"/>
      <w:r>
        <w:t>”, not “. . . a few H”.</w:t>
      </w:r>
    </w:p>
    <w:p w14:paraId="555E26C5" w14:textId="77777777" w:rsidR="00B56D2E" w:rsidRDefault="00F1389A">
      <w:pPr>
        <w:numPr>
          <w:ilvl w:val="0"/>
          <w:numId w:val="1"/>
        </w:numPr>
        <w:spacing w:after="0" w:line="259" w:lineRule="auto"/>
        <w:ind w:hanging="201"/>
      </w:pPr>
      <w:r>
        <w:t>Use a zero before decimal points: “0.25”, not “.25”. Use</w:t>
      </w:r>
    </w:p>
    <w:p w14:paraId="180238A6" w14:textId="77777777" w:rsidR="00B56D2E" w:rsidRDefault="00F1389A">
      <w:pPr>
        <w:spacing w:after="114"/>
        <w:ind w:left="400" w:firstLine="0"/>
      </w:pPr>
      <w:r>
        <w:t>“cm</w:t>
      </w:r>
      <w:r>
        <w:rPr>
          <w:vertAlign w:val="superscript"/>
        </w:rPr>
        <w:t>3</w:t>
      </w:r>
      <w:r>
        <w:t>”, not “cc”.)</w:t>
      </w:r>
    </w:p>
    <w:p w14:paraId="2843ED0E" w14:textId="77777777" w:rsidR="00B56D2E" w:rsidRDefault="00F1389A">
      <w:pPr>
        <w:pStyle w:val="Heading2"/>
        <w:ind w:left="-5"/>
      </w:pPr>
      <w:r>
        <w:t>C. Equations</w:t>
      </w:r>
    </w:p>
    <w:p w14:paraId="50EA0721" w14:textId="77777777" w:rsidR="00B56D2E" w:rsidRDefault="00F1389A">
      <w:pPr>
        <w:ind w:left="-15"/>
      </w:pPr>
      <w:r>
        <w:t>Number equations consecutively.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3D205D0C" w14:textId="77777777" w:rsidR="00B56D2E" w:rsidRDefault="00F1389A">
      <w:pPr>
        <w:tabs>
          <w:tab w:val="center" w:pos="2505"/>
          <w:tab w:val="right" w:pos="5021"/>
        </w:tabs>
        <w:spacing w:after="88" w:line="259" w:lineRule="auto"/>
        <w:ind w:firstLine="0"/>
        <w:jc w:val="left"/>
      </w:pPr>
      <w:r>
        <w:rPr>
          <w:sz w:val="22"/>
        </w:rPr>
        <w:tab/>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 xml:space="preserve">b </w:t>
      </w:r>
      <w:r>
        <w:rPr>
          <w:rFonts w:ascii="Cambria" w:eastAsia="Cambria" w:hAnsi="Cambria" w:cs="Cambria"/>
        </w:rPr>
        <w:t xml:space="preserve">= </w:t>
      </w:r>
      <w:r>
        <w:rPr>
          <w:rFonts w:ascii="Cambria" w:eastAsia="Cambria" w:hAnsi="Cambria" w:cs="Cambria"/>
          <w:i/>
        </w:rPr>
        <w:t>γ</w:t>
      </w:r>
      <w:r>
        <w:rPr>
          <w:rFonts w:ascii="Cambria" w:eastAsia="Cambria" w:hAnsi="Cambria" w:cs="Cambria"/>
          <w:i/>
        </w:rPr>
        <w:tab/>
      </w:r>
      <w:r>
        <w:t>(1)</w:t>
      </w:r>
    </w:p>
    <w:p w14:paraId="1D9E69F5" w14:textId="77777777" w:rsidR="00B56D2E" w:rsidRDefault="00F1389A">
      <w:pPr>
        <w:spacing w:after="152"/>
        <w:ind w:left="-15"/>
      </w:pPr>
      <w:r>
        <w:t>Be sure that the symbols in your equation have been defined before or immediately following the equation. Use “(1)”, not “Eq. (1)” or “equation (1)”, except at the beginning of a sentence: “Equation (1) is . . .”</w:t>
      </w:r>
    </w:p>
    <w:p w14:paraId="61539240" w14:textId="77777777" w:rsidR="00B56D2E" w:rsidRDefault="00F1389A">
      <w:pPr>
        <w:pStyle w:val="Heading2"/>
        <w:spacing w:after="0"/>
        <w:ind w:left="-5"/>
      </w:pPr>
      <w:r>
        <w:t>D. L</w:t>
      </w:r>
      <w:r>
        <w:rPr>
          <w:vertAlign w:val="superscript"/>
        </w:rPr>
        <w:t>A</w:t>
      </w:r>
      <w:r>
        <w:t>T</w:t>
      </w:r>
      <w:r>
        <w:rPr>
          <w:sz w:val="31"/>
          <w:vertAlign w:val="subscript"/>
        </w:rPr>
        <w:t>E</w:t>
      </w:r>
      <w:r>
        <w:t>X-Specific Advice</w:t>
      </w:r>
    </w:p>
    <w:p w14:paraId="5E1E8E92" w14:textId="77777777" w:rsidR="00B56D2E" w:rsidRDefault="00F1389A">
      <w:pPr>
        <w:ind w:left="-15"/>
      </w:pPr>
      <w:r>
        <w:t xml:space="preserve">Please use “soft” (e.g., </w:t>
      </w:r>
      <w:r>
        <w:t>\</w:t>
      </w:r>
      <w:proofErr w:type="spellStart"/>
      <w:r>
        <w:t>eqref</w:t>
      </w:r>
      <w:proofErr w:type="spellEnd"/>
      <w:r>
        <w:t>{Eq}</w:t>
      </w:r>
      <w:r>
        <w:t xml:space="preserve">) cross references instead of “hard” references (e.g., </w:t>
      </w:r>
      <w:r>
        <w:t>(1)</w:t>
      </w:r>
      <w:r>
        <w:t>). That will make it possible to combine sections, add equations, or change the order of figures or citations without having to go through the file line by line.</w:t>
      </w:r>
    </w:p>
    <w:p w14:paraId="55505167" w14:textId="77777777" w:rsidR="00B56D2E" w:rsidRDefault="00F1389A">
      <w:pPr>
        <w:ind w:left="-15"/>
      </w:pPr>
      <w:r>
        <w:lastRenderedPageBreak/>
        <w:t xml:space="preserve">Please don’t use the </w:t>
      </w:r>
      <w:r>
        <w:t>{</w:t>
      </w:r>
      <w:proofErr w:type="spellStart"/>
      <w:r>
        <w:t>eqnarray</w:t>
      </w:r>
      <w:proofErr w:type="spellEnd"/>
      <w:r>
        <w:t xml:space="preserve">} </w:t>
      </w:r>
      <w:r>
        <w:t xml:space="preserve">equation environment. Use </w:t>
      </w:r>
      <w:r>
        <w:t xml:space="preserve">{align} </w:t>
      </w:r>
      <w:r>
        <w:t xml:space="preserve">or </w:t>
      </w:r>
      <w:r>
        <w:t>{</w:t>
      </w:r>
      <w:proofErr w:type="spellStart"/>
      <w:r>
        <w:t>IEEEeqnarray</w:t>
      </w:r>
      <w:proofErr w:type="spellEnd"/>
      <w:r>
        <w:t xml:space="preserve">} </w:t>
      </w:r>
      <w:r>
        <w:t xml:space="preserve">instead. The </w:t>
      </w:r>
      <w:r>
        <w:t>{</w:t>
      </w:r>
      <w:proofErr w:type="spellStart"/>
      <w:r>
        <w:t>eqnarray</w:t>
      </w:r>
      <w:proofErr w:type="spellEnd"/>
      <w:r>
        <w:t xml:space="preserve">} </w:t>
      </w:r>
      <w:r>
        <w:t>environment leaves unsightly spaces around relation symbols.</w:t>
      </w:r>
    </w:p>
    <w:p w14:paraId="054FB882" w14:textId="77777777" w:rsidR="00B56D2E" w:rsidRDefault="00F1389A">
      <w:pPr>
        <w:ind w:left="-15"/>
      </w:pPr>
      <w:r>
        <w:t xml:space="preserve">Please note that the </w:t>
      </w:r>
      <w:r>
        <w:t>{</w:t>
      </w:r>
      <w:proofErr w:type="spellStart"/>
      <w:r>
        <w:t>subequations</w:t>
      </w:r>
      <w:proofErr w:type="spellEnd"/>
      <w:r>
        <w:t xml:space="preserve">} </w:t>
      </w:r>
      <w:r>
        <w:t>environment in L</w:t>
      </w:r>
      <w:r>
        <w:rPr>
          <w:vertAlign w:val="superscript"/>
        </w:rPr>
        <w:t>A</w:t>
      </w:r>
      <w:r>
        <w:t>T</w:t>
      </w:r>
      <w:r>
        <w:rPr>
          <w:sz w:val="31"/>
          <w:vertAlign w:val="subscript"/>
        </w:rPr>
        <w:t>E</w:t>
      </w:r>
      <w:r>
        <w:t xml:space="preserve">X will </w:t>
      </w:r>
      <w:proofErr w:type="gramStart"/>
      <w:r>
        <w:t>increment</w:t>
      </w:r>
      <w:proofErr w:type="gramEnd"/>
      <w:r>
        <w:t xml:space="preserve"> the main equation counter even when there </w:t>
      </w:r>
      <w:proofErr w:type="gramStart"/>
      <w:r>
        <w:t>are</w:t>
      </w:r>
      <w:proofErr w:type="gramEnd"/>
      <w:r>
        <w:t xml:space="preserve"> no equation numbers displayed. If you forget that, you might write an article in which the equation numbers skip from (17) to (20), causing the copy editors to wonder if you’ve discovered a new method of counting.</w:t>
      </w:r>
    </w:p>
    <w:p w14:paraId="5E660FC4" w14:textId="77777777" w:rsidR="00B56D2E" w:rsidRDefault="00F1389A">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14:paraId="0C77C96B" w14:textId="77777777" w:rsidR="00B56D2E" w:rsidRDefault="00F1389A">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14:paraId="6A76C0F8" w14:textId="77777777" w:rsidR="00B56D2E" w:rsidRDefault="00F1389A">
      <w:pPr>
        <w:ind w:left="-15"/>
      </w:pPr>
      <w:r>
        <w:t>L</w:t>
      </w:r>
      <w:r>
        <w:rPr>
          <w:vertAlign w:val="superscript"/>
        </w:rPr>
        <w:t>A</w:t>
      </w:r>
      <w:r>
        <w:t>T</w:t>
      </w:r>
      <w:r>
        <w:rPr>
          <w:sz w:val="31"/>
          <w:vertAlign w:val="subscript"/>
        </w:rPr>
        <w:t>E</w:t>
      </w:r>
      <w:r>
        <w:t xml:space="preserve">X does not have precognitive abilities. If you put a </w:t>
      </w:r>
      <w:r>
        <w:t xml:space="preserve">\label </w:t>
      </w:r>
      <w:r>
        <w:t xml:space="preserve">command before the command that updates the counter it’s supposed to be using, the label will pick up the last counter to be cross referenced instead. In particular, a </w:t>
      </w:r>
      <w:r>
        <w:t xml:space="preserve">\label </w:t>
      </w:r>
      <w:r>
        <w:t>command should not go before the caption of a figure or a table.</w:t>
      </w:r>
    </w:p>
    <w:p w14:paraId="68D5E5A6" w14:textId="77777777" w:rsidR="00B56D2E" w:rsidRDefault="00F1389A">
      <w:pPr>
        <w:spacing w:after="146"/>
        <w:ind w:left="-15"/>
      </w:pPr>
      <w:r>
        <w:t xml:space="preserve">Do not use </w:t>
      </w:r>
      <w:r>
        <w:t>\</w:t>
      </w:r>
      <w:proofErr w:type="spellStart"/>
      <w:r>
        <w:t>nonumber</w:t>
      </w:r>
      <w:proofErr w:type="spellEnd"/>
      <w:r>
        <w:t xml:space="preserve"> </w:t>
      </w:r>
      <w:r>
        <w:t xml:space="preserve">inside the </w:t>
      </w:r>
      <w:r>
        <w:t xml:space="preserve">{array} </w:t>
      </w:r>
      <w:r>
        <w:t xml:space="preserve">environment. It will not stop equation numbers inside </w:t>
      </w:r>
      <w:r>
        <w:t xml:space="preserve">{array} </w:t>
      </w:r>
      <w:r>
        <w:t>(there won’t be any anyway) and it might stop a wanted equation number in the surrounding equation.</w:t>
      </w:r>
    </w:p>
    <w:p w14:paraId="70D7FF4C" w14:textId="77777777" w:rsidR="00B56D2E" w:rsidRDefault="00F1389A">
      <w:pPr>
        <w:pStyle w:val="Heading2"/>
        <w:ind w:left="-5"/>
      </w:pPr>
      <w:r>
        <w:t>E. Some Common Mistakes</w:t>
      </w:r>
    </w:p>
    <w:p w14:paraId="2969F954" w14:textId="77777777" w:rsidR="00B56D2E" w:rsidRDefault="00F1389A">
      <w:pPr>
        <w:numPr>
          <w:ilvl w:val="0"/>
          <w:numId w:val="2"/>
        </w:numPr>
        <w:ind w:hanging="201"/>
      </w:pPr>
      <w:r>
        <w:t>The word “data” is plural, not singular.</w:t>
      </w:r>
    </w:p>
    <w:p w14:paraId="618EC296" w14:textId="77777777" w:rsidR="00B56D2E" w:rsidRDefault="00F1389A">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14:paraId="3CCBE1BD" w14:textId="77777777" w:rsidR="00B56D2E" w:rsidRDefault="00F1389A">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w:t>
      </w:r>
      <w:r>
        <w:t>tuated within the parentheses.)</w:t>
      </w:r>
    </w:p>
    <w:p w14:paraId="749FE30D" w14:textId="77777777" w:rsidR="00B56D2E" w:rsidRDefault="00F1389A">
      <w:pPr>
        <w:numPr>
          <w:ilvl w:val="0"/>
          <w:numId w:val="2"/>
        </w:numPr>
        <w:ind w:hanging="201"/>
      </w:pPr>
      <w:r>
        <w:t>A graph within a graph is an “inset”, not an “insert”. The word alternatively is preferred to the word “alternately” (unless you really mean something that alternates).</w:t>
      </w:r>
    </w:p>
    <w:p w14:paraId="34D6704B" w14:textId="77777777" w:rsidR="00B56D2E" w:rsidRDefault="00F1389A">
      <w:pPr>
        <w:numPr>
          <w:ilvl w:val="0"/>
          <w:numId w:val="2"/>
        </w:numPr>
        <w:ind w:hanging="201"/>
      </w:pPr>
      <w:r>
        <w:t>Do not use the word “essentially” to mean “approximately” or “effectively”.</w:t>
      </w:r>
    </w:p>
    <w:p w14:paraId="219ECFC7" w14:textId="77777777" w:rsidR="00B56D2E" w:rsidRDefault="00F1389A">
      <w:pPr>
        <w:numPr>
          <w:ilvl w:val="0"/>
          <w:numId w:val="2"/>
        </w:numPr>
        <w:ind w:hanging="201"/>
      </w:pPr>
      <w:r>
        <w:t>In your paper title, if the words “that uses” can accurately replace the word “using”, capitalize the “u”; if not, keep using lower-cased.</w:t>
      </w:r>
    </w:p>
    <w:p w14:paraId="6495D9A9" w14:textId="77777777" w:rsidR="00B56D2E" w:rsidRDefault="00F1389A">
      <w:pPr>
        <w:numPr>
          <w:ilvl w:val="0"/>
          <w:numId w:val="2"/>
        </w:numPr>
        <w:ind w:hanging="201"/>
      </w:pPr>
      <w:r>
        <w:t>Be aware of the different meanings of the homophones “affect” and “effect”, “complement” and “compliment”, “discreet” and “discrete”, “principal” and “principle”.</w:t>
      </w:r>
    </w:p>
    <w:p w14:paraId="63CC1676" w14:textId="77777777" w:rsidR="00B56D2E" w:rsidRDefault="00F1389A">
      <w:pPr>
        <w:numPr>
          <w:ilvl w:val="0"/>
          <w:numId w:val="2"/>
        </w:numPr>
        <w:ind w:hanging="201"/>
      </w:pPr>
      <w:r>
        <w:t>Do not confuse “imply” and “infer”.</w:t>
      </w:r>
    </w:p>
    <w:p w14:paraId="2786A68D" w14:textId="77777777" w:rsidR="00B56D2E" w:rsidRDefault="00F1389A">
      <w:pPr>
        <w:numPr>
          <w:ilvl w:val="0"/>
          <w:numId w:val="2"/>
        </w:numPr>
        <w:ind w:hanging="201"/>
      </w:pPr>
      <w:r>
        <w:t>The prefix “non” is not a word; it should be joined to the word it modifies, usually without a hyphen.</w:t>
      </w:r>
    </w:p>
    <w:p w14:paraId="73B04876" w14:textId="77777777" w:rsidR="00B56D2E" w:rsidRDefault="00F1389A">
      <w:pPr>
        <w:numPr>
          <w:ilvl w:val="0"/>
          <w:numId w:val="2"/>
        </w:numPr>
        <w:ind w:hanging="201"/>
      </w:pPr>
      <w:r>
        <w:t>There is no period after the “et” in the Latin abbreviation</w:t>
      </w:r>
    </w:p>
    <w:p w14:paraId="4CD8BD85" w14:textId="77777777" w:rsidR="00B56D2E" w:rsidRDefault="00F1389A">
      <w:pPr>
        <w:ind w:left="400" w:firstLine="0"/>
      </w:pPr>
      <w:r>
        <w:t>“et al.”.</w:t>
      </w:r>
    </w:p>
    <w:p w14:paraId="31EB6B76" w14:textId="77777777" w:rsidR="00B56D2E" w:rsidRDefault="00F1389A">
      <w:pPr>
        <w:numPr>
          <w:ilvl w:val="0"/>
          <w:numId w:val="2"/>
        </w:numPr>
        <w:spacing w:after="47"/>
        <w:ind w:hanging="201"/>
      </w:pPr>
      <w:r>
        <w:t>The abbreviation “i.e.” means “that is”, and the abbreviation “e.g.” means “for example”.</w:t>
      </w:r>
    </w:p>
    <w:p w14:paraId="2F866708" w14:textId="77777777" w:rsidR="00B56D2E" w:rsidRDefault="00F1389A">
      <w:pPr>
        <w:spacing w:after="189"/>
        <w:ind w:left="-15" w:firstLine="0"/>
      </w:pPr>
      <w:r>
        <w:t>An excellent style manual for science writers is [7].</w:t>
      </w:r>
    </w:p>
    <w:p w14:paraId="522B7D97" w14:textId="77777777" w:rsidR="00B56D2E" w:rsidRDefault="00F1389A">
      <w:pPr>
        <w:pStyle w:val="Heading2"/>
        <w:spacing w:after="68"/>
        <w:ind w:left="-5"/>
      </w:pPr>
      <w:r>
        <w:t>F. Authors and Affiliations</w:t>
      </w:r>
    </w:p>
    <w:p w14:paraId="697DE1F8" w14:textId="77777777" w:rsidR="00B56D2E" w:rsidRDefault="00F1389A">
      <w:pPr>
        <w:spacing w:after="193"/>
        <w:ind w:left="-15"/>
      </w:pPr>
      <w:r>
        <w:t xml:space="preserve">The class file is designed for, but not limited to, six authors. </w:t>
      </w:r>
      <w:r>
        <w:t>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1D52D850" w14:textId="77777777" w:rsidR="00B56D2E" w:rsidRDefault="00F1389A">
      <w:pPr>
        <w:pStyle w:val="Heading2"/>
        <w:spacing w:after="68"/>
        <w:ind w:left="-5"/>
      </w:pPr>
      <w:r>
        <w:t>G. Identify the Headings</w:t>
      </w:r>
    </w:p>
    <w:p w14:paraId="0E413A26" w14:textId="77777777" w:rsidR="00B56D2E" w:rsidRDefault="00F1389A">
      <w:pPr>
        <w:ind w:left="-15"/>
      </w:pPr>
      <w:r>
        <w:t>Headings, or heads, are organizational devices that guide the reader through your paper. There are two types: component heads and text heads.</w:t>
      </w:r>
    </w:p>
    <w:p w14:paraId="77608969" w14:textId="77777777" w:rsidR="00B56D2E" w:rsidRDefault="00F1389A">
      <w:pPr>
        <w:ind w:left="-15"/>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4D847788" w14:textId="77777777" w:rsidR="00B56D2E" w:rsidRDefault="00F1389A">
      <w:pPr>
        <w:spacing w:after="194"/>
        <w:ind w:left="-15"/>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14:paraId="6DEA75F1" w14:textId="77777777" w:rsidR="00B56D2E" w:rsidRDefault="00F1389A">
      <w:pPr>
        <w:pStyle w:val="Heading2"/>
        <w:spacing w:after="96"/>
        <w:ind w:left="-5"/>
      </w:pPr>
      <w:r>
        <w:t>H. Figures and Tables</w:t>
      </w:r>
    </w:p>
    <w:p w14:paraId="56BBA113" w14:textId="77777777" w:rsidR="00B56D2E" w:rsidRDefault="00F1389A">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71F3FEC" w14:textId="77777777" w:rsidR="00B56D2E" w:rsidRDefault="00F1389A">
      <w:pPr>
        <w:pStyle w:val="Heading3"/>
        <w:spacing w:after="0"/>
        <w:ind w:right="0"/>
      </w:pPr>
      <w:r>
        <w:t>TABLE I</w:t>
      </w:r>
    </w:p>
    <w:p w14:paraId="04E441C4" w14:textId="77777777" w:rsidR="00B56D2E" w:rsidRDefault="00F1389A">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bottom w:w="0" w:type="dxa"/>
          <w:right w:w="120" w:type="dxa"/>
        </w:tblCellMar>
        <w:tblLook w:val="04A0" w:firstRow="1" w:lastRow="0" w:firstColumn="1" w:lastColumn="0" w:noHBand="0" w:noVBand="1"/>
      </w:tblPr>
      <w:tblGrid>
        <w:gridCol w:w="614"/>
        <w:gridCol w:w="1763"/>
        <w:gridCol w:w="818"/>
        <w:gridCol w:w="818"/>
      </w:tblGrid>
      <w:tr w:rsidR="00B56D2E" w14:paraId="5A4FC419"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43BBA796" w14:textId="77777777" w:rsidR="00B56D2E" w:rsidRDefault="00F1389A">
            <w:pPr>
              <w:spacing w:after="0" w:line="259" w:lineRule="auto"/>
              <w:ind w:firstLine="0"/>
              <w:jc w:val="center"/>
            </w:pPr>
            <w:r>
              <w:rPr>
                <w:sz w:val="16"/>
              </w:rPr>
              <w:lastRenderedPageBreak/>
              <w:t>Table Head</w:t>
            </w:r>
          </w:p>
        </w:tc>
        <w:tc>
          <w:tcPr>
            <w:tcW w:w="2581" w:type="dxa"/>
            <w:gridSpan w:val="2"/>
            <w:tcBorders>
              <w:top w:val="single" w:sz="3" w:space="0" w:color="000000"/>
              <w:left w:val="single" w:sz="3" w:space="0" w:color="000000"/>
              <w:bottom w:val="single" w:sz="3" w:space="0" w:color="000000"/>
              <w:right w:val="nil"/>
            </w:tcBorders>
          </w:tcPr>
          <w:p w14:paraId="111905DA" w14:textId="77777777" w:rsidR="00B56D2E" w:rsidRDefault="00F1389A">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0802464E" w14:textId="77777777" w:rsidR="00B56D2E" w:rsidRDefault="00B56D2E">
            <w:pPr>
              <w:spacing w:after="160" w:line="259" w:lineRule="auto"/>
              <w:ind w:firstLine="0"/>
              <w:jc w:val="left"/>
            </w:pPr>
          </w:p>
        </w:tc>
      </w:tr>
      <w:tr w:rsidR="00B56D2E" w14:paraId="419EFE8F" w14:textId="77777777">
        <w:trPr>
          <w:trHeight w:val="179"/>
        </w:trPr>
        <w:tc>
          <w:tcPr>
            <w:tcW w:w="0" w:type="auto"/>
            <w:vMerge/>
            <w:tcBorders>
              <w:top w:val="nil"/>
              <w:left w:val="single" w:sz="3" w:space="0" w:color="000000"/>
              <w:bottom w:val="single" w:sz="3" w:space="0" w:color="000000"/>
              <w:right w:val="single" w:sz="3" w:space="0" w:color="000000"/>
            </w:tcBorders>
          </w:tcPr>
          <w:p w14:paraId="4122E1E7" w14:textId="77777777" w:rsidR="00B56D2E" w:rsidRDefault="00B56D2E">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72412731" w14:textId="77777777" w:rsidR="00B56D2E" w:rsidRDefault="00F1389A">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48897F8E" w14:textId="77777777" w:rsidR="00B56D2E" w:rsidRDefault="00F1389A">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5DEF550F" w14:textId="77777777" w:rsidR="00B56D2E" w:rsidRDefault="00F1389A">
            <w:pPr>
              <w:spacing w:after="0" w:line="259" w:lineRule="auto"/>
              <w:ind w:firstLine="0"/>
              <w:jc w:val="left"/>
            </w:pPr>
            <w:r>
              <w:rPr>
                <w:i/>
                <w:sz w:val="16"/>
              </w:rPr>
              <w:t>Subhead</w:t>
            </w:r>
          </w:p>
        </w:tc>
      </w:tr>
      <w:tr w:rsidR="00B56D2E" w14:paraId="646BC90C"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0B989330" w14:textId="77777777" w:rsidR="00B56D2E" w:rsidRDefault="00F1389A">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775346BD" w14:textId="77777777" w:rsidR="00B56D2E" w:rsidRDefault="00F1389A">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14:paraId="50CDCA9A" w14:textId="77777777" w:rsidR="00B56D2E" w:rsidRDefault="00B56D2E">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01E25F39" w14:textId="77777777" w:rsidR="00B56D2E" w:rsidRDefault="00B56D2E">
            <w:pPr>
              <w:spacing w:after="160" w:line="259" w:lineRule="auto"/>
              <w:ind w:firstLine="0"/>
              <w:jc w:val="left"/>
            </w:pPr>
          </w:p>
        </w:tc>
      </w:tr>
    </w:tbl>
    <w:p w14:paraId="160CCC2C" w14:textId="77777777" w:rsidR="00B56D2E" w:rsidRDefault="00F1389A">
      <w:pPr>
        <w:spacing w:after="260" w:line="225" w:lineRule="auto"/>
        <w:ind w:left="596" w:firstLine="0"/>
      </w:pPr>
      <w:proofErr w:type="spellStart"/>
      <w:proofErr w:type="gramStart"/>
      <w:r>
        <w:rPr>
          <w:rFonts w:ascii="Cambria" w:eastAsia="Cambria" w:hAnsi="Cambria" w:cs="Cambria"/>
          <w:sz w:val="16"/>
          <w:vertAlign w:val="superscript"/>
        </w:rPr>
        <w:t>a</w:t>
      </w:r>
      <w:r>
        <w:rPr>
          <w:sz w:val="16"/>
        </w:rPr>
        <w:t>Sample</w:t>
      </w:r>
      <w:proofErr w:type="spellEnd"/>
      <w:proofErr w:type="gramEnd"/>
      <w:r>
        <w:rPr>
          <w:sz w:val="16"/>
        </w:rPr>
        <w:t xml:space="preserve"> of a Table footnote.</w:t>
      </w:r>
    </w:p>
    <w:p w14:paraId="0401734E" w14:textId="77777777" w:rsidR="00B56D2E" w:rsidRDefault="00F1389A">
      <w:pPr>
        <w:spacing w:after="251" w:line="259" w:lineRule="auto"/>
        <w:ind w:left="1692" w:firstLine="0"/>
        <w:jc w:val="left"/>
      </w:pPr>
      <w:r>
        <w:rPr>
          <w:noProof/>
        </w:rPr>
        <w:drawing>
          <wp:inline distT="0" distB="0" distL="0" distR="0" wp14:anchorId="30B3E18C" wp14:editId="7FE07B37">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5"/>
                    <a:stretch>
                      <a:fillRect/>
                    </a:stretch>
                  </pic:blipFill>
                  <pic:spPr>
                    <a:xfrm>
                      <a:off x="0" y="0"/>
                      <a:ext cx="1039368" cy="905256"/>
                    </a:xfrm>
                    <a:prstGeom prst="rect">
                      <a:avLst/>
                    </a:prstGeom>
                  </pic:spPr>
                </pic:pic>
              </a:graphicData>
            </a:graphic>
          </wp:inline>
        </w:drawing>
      </w:r>
    </w:p>
    <w:p w14:paraId="46B1171B" w14:textId="77777777" w:rsidR="00B56D2E" w:rsidRDefault="00F1389A">
      <w:pPr>
        <w:spacing w:after="461" w:line="265" w:lineRule="auto"/>
        <w:ind w:left="10" w:hanging="10"/>
        <w:jc w:val="center"/>
      </w:pPr>
      <w:r>
        <w:rPr>
          <w:sz w:val="16"/>
        </w:rPr>
        <w:t>Fig. 1. Example of a figure caption.</w:t>
      </w:r>
    </w:p>
    <w:p w14:paraId="12D04140" w14:textId="77777777" w:rsidR="00B56D2E" w:rsidRDefault="00F1389A">
      <w:pPr>
        <w:spacing w:after="248"/>
        <w:ind w:left="-15"/>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A[m(1)]</w:t>
      </w:r>
      <w:r>
        <w:rPr>
          <w:rFonts w:ascii="Cambria" w:eastAsia="Cambria" w:hAnsi="Cambria" w:cs="Cambria"/>
        </w:rPr>
        <w:t>}</w:t>
      </w:r>
      <w:r>
        <w:t>”, not just “A/m”. Do not label axes with a ratio of quantities and units. For example, write “Temp</w:t>
      </w:r>
      <w:r>
        <w:t>erature (K)”, not “Temperature/K”.</w:t>
      </w:r>
    </w:p>
    <w:p w14:paraId="5A63F0F1" w14:textId="77777777" w:rsidR="00B56D2E" w:rsidRDefault="00F1389A">
      <w:pPr>
        <w:pStyle w:val="Heading3"/>
        <w:ind w:right="0"/>
      </w:pPr>
      <w:r>
        <w:rPr>
          <w:sz w:val="20"/>
        </w:rPr>
        <w:t>A</w:t>
      </w:r>
      <w:r>
        <w:t>CKNOWLEDGMENT</w:t>
      </w:r>
    </w:p>
    <w:p w14:paraId="471F2C56" w14:textId="77777777" w:rsidR="00B56D2E" w:rsidRDefault="00F1389A">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11F4B078" w14:textId="77777777" w:rsidR="00B56D2E" w:rsidRDefault="00F1389A">
      <w:pPr>
        <w:pStyle w:val="Heading3"/>
        <w:ind w:right="0"/>
      </w:pPr>
      <w:r>
        <w:rPr>
          <w:sz w:val="20"/>
        </w:rPr>
        <w:t>R</w:t>
      </w:r>
      <w:r>
        <w:t>EFERENCES</w:t>
      </w:r>
    </w:p>
    <w:p w14:paraId="73229B2C" w14:textId="77777777" w:rsidR="00B56D2E" w:rsidRDefault="00F1389A">
      <w:pPr>
        <w:ind w:left="-15"/>
      </w:pPr>
      <w:r>
        <w:t xml:space="preserve">Please number citations consecutively within brackets [1]. The sentence punctuation follows the bracket [2]. Refer simply to the reference number, as in [3]—do not use “Ref. [3]” or “reference [3]” except at the beginning of a sentence: “Reference [3] was the first </w:t>
      </w:r>
      <w:r>
        <w:rPr>
          <w:rFonts w:ascii="Cambria" w:eastAsia="Cambria" w:hAnsi="Cambria" w:cs="Cambria"/>
          <w:i/>
        </w:rPr>
        <w:t>...</w:t>
      </w:r>
      <w:r>
        <w:t>”</w:t>
      </w:r>
    </w:p>
    <w:p w14:paraId="11A7CDF0" w14:textId="77777777" w:rsidR="00B56D2E" w:rsidRDefault="00F1389A">
      <w:pPr>
        <w:ind w:left="-15"/>
      </w:pPr>
      <w:r>
        <w:t>Number footnotes separately in superscripts. Place the actual footnote at the bottom of the column in which it was cited. Do not put footnotes in the abstract or reference list. Use letters for table footnotes.</w:t>
      </w:r>
    </w:p>
    <w:p w14:paraId="6D9439D7" w14:textId="77777777" w:rsidR="00B56D2E" w:rsidRDefault="00F1389A">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7BDC26" w14:textId="77777777" w:rsidR="00B56D2E" w:rsidRDefault="00F1389A">
      <w:pPr>
        <w:ind w:left="-15"/>
      </w:pPr>
      <w:r>
        <w:t>For papers published in translation journals, please give the English citation first, followed by the original foreign-language citation [6].</w:t>
      </w:r>
    </w:p>
    <w:p w14:paraId="2CB97F23" w14:textId="77777777" w:rsidR="00B56D2E" w:rsidRDefault="00F1389A">
      <w:pPr>
        <w:pStyle w:val="Heading3"/>
        <w:spacing w:after="59"/>
        <w:ind w:right="0"/>
      </w:pPr>
      <w:r>
        <w:rPr>
          <w:sz w:val="20"/>
        </w:rPr>
        <w:t>R</w:t>
      </w:r>
      <w:r>
        <w:t>EFERENCES</w:t>
      </w:r>
    </w:p>
    <w:p w14:paraId="634F39AE" w14:textId="77777777" w:rsidR="00B56D2E" w:rsidRDefault="00F1389A">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7164AB7D" w14:textId="77777777" w:rsidR="00B56D2E" w:rsidRDefault="00F1389A">
      <w:pPr>
        <w:numPr>
          <w:ilvl w:val="0"/>
          <w:numId w:val="3"/>
        </w:numPr>
        <w:spacing w:after="23" w:line="225" w:lineRule="auto"/>
        <w:ind w:hanging="285"/>
      </w:pPr>
      <w:r>
        <w:rPr>
          <w:sz w:val="16"/>
        </w:rPr>
        <w:t>J. Clerk Maxwell, A Treatise on Electricity and Magnetism, 3rd ed., vol. 2. Oxford: Clarendon, 1892, pp.68–73.</w:t>
      </w:r>
    </w:p>
    <w:p w14:paraId="3E13CE1A" w14:textId="77777777" w:rsidR="00B56D2E" w:rsidRDefault="00F1389A">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14:paraId="18D6804F" w14:textId="77777777" w:rsidR="00B56D2E" w:rsidRDefault="00F1389A">
      <w:pPr>
        <w:numPr>
          <w:ilvl w:val="0"/>
          <w:numId w:val="3"/>
        </w:numPr>
        <w:spacing w:after="23" w:line="225" w:lineRule="auto"/>
        <w:ind w:hanging="285"/>
      </w:pPr>
      <w:r>
        <w:rPr>
          <w:sz w:val="16"/>
        </w:rPr>
        <w:t>K. Elissa, “Title of paper if known,” unpublished.</w:t>
      </w:r>
    </w:p>
    <w:p w14:paraId="78050766" w14:textId="77777777" w:rsidR="00B56D2E" w:rsidRDefault="00F1389A">
      <w:pPr>
        <w:numPr>
          <w:ilvl w:val="0"/>
          <w:numId w:val="3"/>
        </w:numPr>
        <w:spacing w:after="23" w:line="225" w:lineRule="auto"/>
        <w:ind w:hanging="285"/>
      </w:pPr>
      <w:r>
        <w:rPr>
          <w:sz w:val="16"/>
        </w:rPr>
        <w:t xml:space="preserve">R. Nicole, “Title of paper with only first word capitalized,” J. Name Stand. Abbrev., in </w:t>
      </w:r>
      <w:proofErr w:type="gramStart"/>
      <w:r>
        <w:rPr>
          <w:sz w:val="16"/>
        </w:rPr>
        <w:t>press</w:t>
      </w:r>
      <w:proofErr w:type="gramEnd"/>
      <w:r>
        <w:rPr>
          <w:sz w:val="16"/>
        </w:rPr>
        <w:t>.</w:t>
      </w:r>
    </w:p>
    <w:p w14:paraId="73F9D6CD" w14:textId="77777777" w:rsidR="00B56D2E" w:rsidRDefault="00F1389A">
      <w:pPr>
        <w:numPr>
          <w:ilvl w:val="0"/>
          <w:numId w:val="3"/>
        </w:numPr>
        <w:spacing w:after="21" w:line="223" w:lineRule="auto"/>
        <w:ind w:hanging="285"/>
      </w:pPr>
      <w:r>
        <w:rPr>
          <w:sz w:val="16"/>
        </w:rPr>
        <w:t>Y. Yorozu, M. Hirano, K. Oka, and Y. Tagawa, “Electron spectroscopy studies on magneto-optical media and plastic substrate interface,” IEEE Transl. J. Magn. Japan, vol. 2, pp. 740–741, August 1987 [Digests 9th Annual Conf. Magnetics Japan, p. 301, 1982].</w:t>
      </w:r>
    </w:p>
    <w:p w14:paraId="52B27553" w14:textId="77777777" w:rsidR="00B56D2E" w:rsidRDefault="00F1389A">
      <w:pPr>
        <w:numPr>
          <w:ilvl w:val="0"/>
          <w:numId w:val="3"/>
        </w:numPr>
        <w:spacing w:after="335" w:line="225" w:lineRule="auto"/>
        <w:ind w:hanging="285"/>
      </w:pPr>
      <w:r>
        <w:rPr>
          <w:sz w:val="16"/>
        </w:rPr>
        <w:t xml:space="preserve">M. Young, The Technical Writer’s Handbook. Mill Valley, CA: </w:t>
      </w:r>
      <w:proofErr w:type="gramStart"/>
      <w:r>
        <w:rPr>
          <w:sz w:val="16"/>
        </w:rPr>
        <w:t>University</w:t>
      </w:r>
      <w:proofErr w:type="gramEnd"/>
      <w:r>
        <w:rPr>
          <w:sz w:val="16"/>
        </w:rPr>
        <w:t xml:space="preserve"> Science, 1989.</w:t>
      </w:r>
    </w:p>
    <w:p w14:paraId="234BDEED" w14:textId="77777777" w:rsidR="00B56D2E" w:rsidRDefault="00F1389A">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B56D2E">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1B3"/>
    <w:multiLevelType w:val="hybridMultilevel"/>
    <w:tmpl w:val="6AEC6780"/>
    <w:lvl w:ilvl="0" w:tplc="31ACF5E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DB2501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E30653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DD498E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A1E63F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ECAEC9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D0865F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7E411D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184037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CFD2AC2"/>
    <w:multiLevelType w:val="hybridMultilevel"/>
    <w:tmpl w:val="1FBA7610"/>
    <w:lvl w:ilvl="0" w:tplc="ACBAFD18">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07A085A">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4F428CE">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4EC5E9C">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92C1696">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0326B26">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22C3C14">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456D198">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CD8CCC2">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70D098D"/>
    <w:multiLevelType w:val="hybridMultilevel"/>
    <w:tmpl w:val="1416E028"/>
    <w:lvl w:ilvl="0" w:tplc="DAFA50D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964512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B0E103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DF4264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EF2031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B6AA83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C2CD4E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830C19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4541D7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380083273">
    <w:abstractNumId w:val="0"/>
  </w:num>
  <w:num w:numId="2" w16cid:durableId="245261849">
    <w:abstractNumId w:val="2"/>
  </w:num>
  <w:num w:numId="3" w16cid:durableId="945968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D2E"/>
    <w:rsid w:val="009F6002"/>
    <w:rsid w:val="00A00046"/>
    <w:rsid w:val="00B56D2E"/>
    <w:rsid w:val="00D95EA3"/>
    <w:rsid w:val="00F1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B7EB"/>
  <w15:docId w15:val="{FB522199-DE8F-45E6-B5AB-EA80E7AE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9A"/>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Nicholas Matthew</dc:creator>
  <cp:keywords/>
  <cp:lastModifiedBy>Akin, Nicholas Matthew</cp:lastModifiedBy>
  <cp:revision>3</cp:revision>
  <dcterms:created xsi:type="dcterms:W3CDTF">2025-07-03T02:50:00Z</dcterms:created>
  <dcterms:modified xsi:type="dcterms:W3CDTF">2025-07-03T03:01:00Z</dcterms:modified>
</cp:coreProperties>
</file>