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April 8, 2026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shd w:fill="ffe599" w:val="clear"/>
          <w:rtl w:val="0"/>
        </w:rPr>
        <w:t xml:space="preserve">Professor wants us, for next class for 15 minutes discuss the following: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e599" w:val="clear"/>
          <w:rtl w:val="0"/>
        </w:rPr>
        <w:t xml:space="preserve">Large concept models, differences with GPT and LLMs (how they work, pros and cons, main problems, what it offers and where opportunities exist)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e599" w:val="clear"/>
          <w:rtl w:val="0"/>
        </w:rPr>
        <w:t xml:space="preserve">How it differs/relates to world models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e599" w:val="clear"/>
          <w:rtl w:val="0"/>
        </w:rPr>
        <w:t xml:space="preserve">How do large concept models help us? (e.g. world models are in video and help us in xyz ways and works in the latent space)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Professor says for tooling: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great for organization of various notes and project management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Excalidraw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great for diagramming ($50/yr)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also great for diagramming (free)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Zotero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 reading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free for coding (students only)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Obsidian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 relationships, creative,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Professor says when scoping an issue, look at the issue you are trying to solve and scope it based on the problem. “What is the problem here? What is studied/not studied enough? What are sub-problems that emerge here?”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Papers need to have a conclusion that directly answers/addresses the problem, why the paper is the best paper, etc.,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