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B433B" w14:textId="77777777" w:rsidR="0056525F" w:rsidRDefault="00000000">
      <w:pPr>
        <w:pStyle w:val="Heading2"/>
      </w:pPr>
      <w:r>
        <w:t>Editorial Request Table – Revise</w:t>
      </w:r>
    </w:p>
    <w:p w14:paraId="073EFCBD" w14:textId="77777777" w:rsidR="0056525F" w:rsidRDefault="0056525F"/>
    <w:p w14:paraId="16728B05" w14:textId="77777777" w:rsidR="0056525F" w:rsidRDefault="00000000">
      <w:pPr>
        <w:widowControl w:val="0"/>
        <w:pBdr>
          <w:top w:val="nil"/>
          <w:left w:val="nil"/>
          <w:bottom w:val="nil"/>
          <w:right w:val="nil"/>
          <w:between w:val="nil"/>
        </w:pBdr>
      </w:pPr>
      <w:r>
        <w:t>To the Author — Please review the editorial comments and requests below and implement all necessary changes.</w:t>
      </w:r>
      <w:r>
        <w:br/>
      </w:r>
      <w:r>
        <w:br/>
        <w:t>Please note that manuscripts that do not comply with these requests may be returned to the authors if the editors determine that the lack of compliance may hinder the peer-review process or make a disadvantageous outcome more likely.</w:t>
      </w:r>
    </w:p>
    <w:p w14:paraId="434C06AC" w14:textId="77777777" w:rsidR="0056525F" w:rsidRDefault="0056525F"/>
    <w:tbl>
      <w:tblPr>
        <w:tblStyle w:val="a2"/>
        <w:tblW w:w="134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39"/>
        <w:gridCol w:w="1418"/>
      </w:tblGrid>
      <w:tr w:rsidR="0056525F" w14:paraId="34D9C638" w14:textId="77777777">
        <w:tc>
          <w:tcPr>
            <w:tcW w:w="12039" w:type="dxa"/>
            <w:shd w:val="clear" w:color="auto" w:fill="4F7885"/>
            <w:tcMar>
              <w:top w:w="100" w:type="dxa"/>
              <w:left w:w="100" w:type="dxa"/>
              <w:bottom w:w="100" w:type="dxa"/>
              <w:right w:w="100" w:type="dxa"/>
            </w:tcMar>
          </w:tcPr>
          <w:p w14:paraId="56A8D5BE" w14:textId="77777777" w:rsidR="0056525F" w:rsidRDefault="00000000">
            <w:pPr>
              <w:widowControl w:val="0"/>
              <w:pBdr>
                <w:top w:val="nil"/>
                <w:left w:val="nil"/>
                <w:bottom w:val="nil"/>
                <w:right w:val="nil"/>
                <w:between w:val="nil"/>
              </w:pBdr>
              <w:rPr>
                <w:rFonts w:ascii="Calibri" w:eastAsia="Calibri" w:hAnsi="Calibri" w:cs="Calibri"/>
                <w:b/>
                <w:color w:val="FFFFFF"/>
                <w:sz w:val="20"/>
                <w:szCs w:val="20"/>
              </w:rPr>
            </w:pPr>
            <w:r>
              <w:rPr>
                <w:rFonts w:ascii="Calibri" w:eastAsia="Calibri" w:hAnsi="Calibri" w:cs="Calibri"/>
                <w:b/>
                <w:color w:val="FFFFFF"/>
                <w:sz w:val="36"/>
                <w:szCs w:val="36"/>
              </w:rPr>
              <w:t xml:space="preserve">General </w:t>
            </w:r>
          </w:p>
        </w:tc>
        <w:tc>
          <w:tcPr>
            <w:tcW w:w="1418" w:type="dxa"/>
            <w:shd w:val="clear" w:color="auto" w:fill="4F7885"/>
            <w:tcMar>
              <w:top w:w="100" w:type="dxa"/>
              <w:left w:w="100" w:type="dxa"/>
              <w:bottom w:w="100" w:type="dxa"/>
              <w:right w:w="100" w:type="dxa"/>
            </w:tcMar>
          </w:tcPr>
          <w:p w14:paraId="261CAB06" w14:textId="77777777" w:rsidR="0056525F" w:rsidRDefault="00000000">
            <w:pPr>
              <w:widowControl w:val="0"/>
              <w:pBdr>
                <w:top w:val="nil"/>
                <w:left w:val="nil"/>
                <w:bottom w:val="nil"/>
                <w:right w:val="nil"/>
                <w:between w:val="nil"/>
              </w:pBdr>
              <w:rPr>
                <w:rFonts w:ascii="Calibri" w:eastAsia="Calibri" w:hAnsi="Calibri" w:cs="Calibri"/>
                <w:b/>
                <w:color w:val="FFFFFF"/>
                <w:sz w:val="20"/>
                <w:szCs w:val="20"/>
              </w:rPr>
            </w:pPr>
            <w:r>
              <w:rPr>
                <w:rFonts w:ascii="Calibri" w:eastAsia="Calibri" w:hAnsi="Calibri" w:cs="Calibri"/>
                <w:b/>
                <w:color w:val="FFFFFF"/>
                <w:sz w:val="20"/>
                <w:szCs w:val="20"/>
              </w:rPr>
              <w:t>Author confirmation</w:t>
            </w:r>
          </w:p>
        </w:tc>
      </w:tr>
      <w:tr w:rsidR="0056525F" w14:paraId="22DC1F7D" w14:textId="77777777">
        <w:tc>
          <w:tcPr>
            <w:tcW w:w="12039" w:type="dxa"/>
            <w:shd w:val="clear" w:color="auto" w:fill="FFFFFF"/>
            <w:tcMar>
              <w:top w:w="100" w:type="dxa"/>
              <w:left w:w="100" w:type="dxa"/>
              <w:bottom w:w="100" w:type="dxa"/>
              <w:right w:w="100" w:type="dxa"/>
            </w:tcMar>
          </w:tcPr>
          <w:p w14:paraId="21961F4C"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An editorial policy checklist that verifies compliance with all required editorial policies must be completed and uploaded with the revised manuscript. All points on the policy checklist must be addressed; if needed, please revise your manuscript in response to these points. </w:t>
            </w:r>
          </w:p>
          <w:p w14:paraId="173B6EFE"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https://www.nature.com/documents/nr-editorial-policy-checklist.zip </w:t>
            </w:r>
          </w:p>
          <w:p w14:paraId="5E1DCB95" w14:textId="77777777" w:rsidR="0056525F" w:rsidRDefault="0056525F">
            <w:pPr>
              <w:widowControl w:val="0"/>
              <w:pBdr>
                <w:top w:val="nil"/>
                <w:left w:val="nil"/>
                <w:bottom w:val="nil"/>
                <w:right w:val="nil"/>
                <w:between w:val="nil"/>
              </w:pBdr>
              <w:rPr>
                <w:rFonts w:ascii="Calibri" w:eastAsia="Calibri" w:hAnsi="Calibri" w:cs="Calibri"/>
                <w:color w:val="000000"/>
                <w:sz w:val="20"/>
                <w:szCs w:val="20"/>
              </w:rPr>
            </w:pPr>
          </w:p>
          <w:p w14:paraId="3817EDA5"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Please note that this form is a dynamic ‘smart pdf’ and must therefore be downloaded and completed in Adobe Reader. Clicking this link will download a zip file containing the pdf.</w:t>
            </w:r>
          </w:p>
          <w:p w14:paraId="0904969B" w14:textId="77777777" w:rsidR="0056525F" w:rsidRDefault="0056525F">
            <w:pPr>
              <w:widowControl w:val="0"/>
              <w:pBdr>
                <w:top w:val="nil"/>
                <w:left w:val="nil"/>
                <w:bottom w:val="nil"/>
                <w:right w:val="nil"/>
                <w:between w:val="nil"/>
              </w:pBdr>
              <w:rPr>
                <w:rFonts w:ascii="Calibri" w:eastAsia="Calibri" w:hAnsi="Calibri" w:cs="Calibri"/>
                <w:color w:val="000000"/>
                <w:sz w:val="20"/>
                <w:szCs w:val="20"/>
              </w:rPr>
            </w:pPr>
          </w:p>
          <w:p w14:paraId="10126C9D"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We will not be able to process the manuscript further if we have not received an editorial policy checklist.</w:t>
            </w:r>
          </w:p>
        </w:tc>
        <w:tc>
          <w:tcPr>
            <w:tcW w:w="1418" w:type="dxa"/>
            <w:shd w:val="clear" w:color="auto" w:fill="FFFFFF"/>
            <w:tcMar>
              <w:top w:w="100" w:type="dxa"/>
              <w:left w:w="100" w:type="dxa"/>
              <w:bottom w:w="100" w:type="dxa"/>
              <w:right w:w="100" w:type="dxa"/>
            </w:tcMar>
          </w:tcPr>
          <w:p w14:paraId="2DDD6E45" w14:textId="3BF3750B" w:rsidR="0056525F" w:rsidRDefault="007701C3">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066F4DD5" w14:textId="77777777">
        <w:tc>
          <w:tcPr>
            <w:tcW w:w="12039" w:type="dxa"/>
            <w:shd w:val="clear" w:color="auto" w:fill="FFFFFF"/>
            <w:tcMar>
              <w:top w:w="100" w:type="dxa"/>
              <w:left w:w="100" w:type="dxa"/>
              <w:bottom w:w="100" w:type="dxa"/>
              <w:right w:w="100" w:type="dxa"/>
            </w:tcMar>
          </w:tcPr>
          <w:p w14:paraId="71B0D0C1"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A reporting summary must be uploaded with your manuscript. You can find the Reporting Summary form, it here: https://www.nature.com/documents/nr-reporting-summary.zip </w:t>
            </w:r>
          </w:p>
          <w:p w14:paraId="27456DDB"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The reporting summary will be published alongside your manuscript therefore it needs to accurately represent your work. </w:t>
            </w:r>
          </w:p>
          <w:p w14:paraId="2D943A35"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Also, please make sure to include a date at the top of the document. The reporting summary is visible to referees; if you opted for double-anonymized peer review, don’t include your name or signature. </w:t>
            </w:r>
          </w:p>
        </w:tc>
        <w:tc>
          <w:tcPr>
            <w:tcW w:w="1418" w:type="dxa"/>
            <w:shd w:val="clear" w:color="auto" w:fill="FFFFFF"/>
            <w:tcMar>
              <w:top w:w="100" w:type="dxa"/>
              <w:left w:w="100" w:type="dxa"/>
              <w:bottom w:w="100" w:type="dxa"/>
              <w:right w:w="100" w:type="dxa"/>
            </w:tcMar>
          </w:tcPr>
          <w:p w14:paraId="2A89E051" w14:textId="2D7A49F4" w:rsidR="0056525F" w:rsidRDefault="007701C3">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5EDAA43B" w14:textId="77777777">
        <w:tc>
          <w:tcPr>
            <w:tcW w:w="12039" w:type="dxa"/>
            <w:shd w:val="clear" w:color="auto" w:fill="FFFFFF"/>
            <w:tcMar>
              <w:top w:w="100" w:type="dxa"/>
              <w:left w:w="100" w:type="dxa"/>
              <w:bottom w:w="100" w:type="dxa"/>
              <w:right w:w="100" w:type="dxa"/>
            </w:tcMar>
          </w:tcPr>
          <w:p w14:paraId="7709A603"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We discourage parachute science, where none of the participants of a research project are based near the location under investigation (if it is inhabited). We are seeking to understand in more depth why this occurs. If your study location is inhabited, and none of the authors of the manuscript are local, please explain why local researchers were not involved in the project. Please include an Ethics and Inclusion statement. https://www.nature.com/nature-portfolio/editorial-policies/authorship#authorship-inclusion-and-ethics-in-global-research</w:t>
            </w:r>
          </w:p>
        </w:tc>
        <w:tc>
          <w:tcPr>
            <w:tcW w:w="1418" w:type="dxa"/>
            <w:shd w:val="clear" w:color="auto" w:fill="FFFFFF"/>
            <w:tcMar>
              <w:top w:w="100" w:type="dxa"/>
              <w:left w:w="100" w:type="dxa"/>
              <w:bottom w:w="100" w:type="dxa"/>
              <w:right w:w="100" w:type="dxa"/>
            </w:tcMar>
          </w:tcPr>
          <w:p w14:paraId="4832C5CA" w14:textId="45B7135B" w:rsidR="0056525F" w:rsidRDefault="007701C3">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65681445" w14:textId="77777777">
        <w:tc>
          <w:tcPr>
            <w:tcW w:w="12039" w:type="dxa"/>
            <w:shd w:val="clear" w:color="auto" w:fill="4F7885"/>
            <w:tcMar>
              <w:top w:w="100" w:type="dxa"/>
              <w:left w:w="100" w:type="dxa"/>
              <w:bottom w:w="100" w:type="dxa"/>
              <w:right w:w="100" w:type="dxa"/>
            </w:tcMar>
          </w:tcPr>
          <w:p w14:paraId="04DB6113" w14:textId="77777777" w:rsidR="0056525F" w:rsidRDefault="00000000">
            <w:pPr>
              <w:widowControl w:val="0"/>
              <w:pBdr>
                <w:top w:val="nil"/>
                <w:left w:val="nil"/>
                <w:bottom w:val="nil"/>
                <w:right w:val="nil"/>
                <w:between w:val="nil"/>
              </w:pBdr>
              <w:rPr>
                <w:rFonts w:ascii="Calibri" w:eastAsia="Calibri" w:hAnsi="Calibri" w:cs="Calibri"/>
                <w:b/>
                <w:color w:val="FFFFFF"/>
                <w:sz w:val="36"/>
                <w:szCs w:val="36"/>
              </w:rPr>
            </w:pPr>
            <w:r>
              <w:rPr>
                <w:rFonts w:ascii="Calibri" w:eastAsia="Calibri" w:hAnsi="Calibri" w:cs="Calibri"/>
                <w:b/>
                <w:color w:val="FFFFFF"/>
                <w:sz w:val="36"/>
                <w:szCs w:val="36"/>
              </w:rPr>
              <w:lastRenderedPageBreak/>
              <w:t xml:space="preserve">Main Text </w:t>
            </w:r>
          </w:p>
        </w:tc>
        <w:tc>
          <w:tcPr>
            <w:tcW w:w="1418" w:type="dxa"/>
            <w:shd w:val="clear" w:color="auto" w:fill="4F7885"/>
            <w:tcMar>
              <w:top w:w="100" w:type="dxa"/>
              <w:left w:w="100" w:type="dxa"/>
              <w:bottom w:w="100" w:type="dxa"/>
              <w:right w:w="100" w:type="dxa"/>
            </w:tcMar>
          </w:tcPr>
          <w:p w14:paraId="6F27D01E" w14:textId="77777777" w:rsidR="0056525F" w:rsidRDefault="00000000">
            <w:pPr>
              <w:widowControl w:val="0"/>
              <w:pBdr>
                <w:top w:val="nil"/>
                <w:left w:val="nil"/>
                <w:bottom w:val="nil"/>
                <w:right w:val="nil"/>
                <w:between w:val="nil"/>
              </w:pBdr>
              <w:rPr>
                <w:rFonts w:ascii="Calibri" w:eastAsia="Calibri" w:hAnsi="Calibri" w:cs="Calibri"/>
                <w:b/>
                <w:color w:val="FFFFFF"/>
                <w:sz w:val="20"/>
                <w:szCs w:val="20"/>
              </w:rPr>
            </w:pPr>
            <w:r>
              <w:rPr>
                <w:rFonts w:ascii="Calibri" w:eastAsia="Calibri" w:hAnsi="Calibri" w:cs="Calibri"/>
                <w:b/>
                <w:color w:val="FFFFFF"/>
                <w:sz w:val="20"/>
                <w:szCs w:val="20"/>
              </w:rPr>
              <w:t>Author confirmation</w:t>
            </w:r>
          </w:p>
        </w:tc>
      </w:tr>
      <w:tr w:rsidR="0056525F" w14:paraId="615928F0" w14:textId="77777777">
        <w:tc>
          <w:tcPr>
            <w:tcW w:w="12039" w:type="dxa"/>
            <w:shd w:val="clear" w:color="auto" w:fill="FFFFFF"/>
            <w:tcMar>
              <w:top w:w="100" w:type="dxa"/>
              <w:left w:w="100" w:type="dxa"/>
              <w:bottom w:w="100" w:type="dxa"/>
              <w:right w:w="100" w:type="dxa"/>
            </w:tcMar>
          </w:tcPr>
          <w:p w14:paraId="64DE8131"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Format:</w:t>
            </w:r>
          </w:p>
          <w:p w14:paraId="470F24BE"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Please ensure your manuscript includes the following sections, presented in this order and with the following headings:</w:t>
            </w:r>
          </w:p>
          <w:p w14:paraId="2B01751A" w14:textId="77777777" w:rsidR="0056525F" w:rsidRDefault="00000000">
            <w:pPr>
              <w:widowControl w:val="0"/>
              <w:numPr>
                <w:ilvl w:val="0"/>
                <w:numId w:val="1"/>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Abstract (250 words)</w:t>
            </w:r>
          </w:p>
          <w:p w14:paraId="71F62562" w14:textId="77777777" w:rsidR="0056525F" w:rsidRDefault="00000000">
            <w:pPr>
              <w:widowControl w:val="0"/>
              <w:numPr>
                <w:ilvl w:val="0"/>
                <w:numId w:val="1"/>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Introduction</w:t>
            </w:r>
          </w:p>
          <w:p w14:paraId="0B05109F" w14:textId="77777777" w:rsidR="0056525F" w:rsidRDefault="00000000">
            <w:pPr>
              <w:widowControl w:val="0"/>
              <w:numPr>
                <w:ilvl w:val="0"/>
                <w:numId w:val="1"/>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Methods</w:t>
            </w:r>
          </w:p>
          <w:p w14:paraId="5C5B6C84" w14:textId="77777777" w:rsidR="0056525F" w:rsidRDefault="00000000">
            <w:pPr>
              <w:widowControl w:val="0"/>
              <w:numPr>
                <w:ilvl w:val="0"/>
                <w:numId w:val="1"/>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Results</w:t>
            </w:r>
          </w:p>
          <w:p w14:paraId="3A5EEC1B" w14:textId="77777777" w:rsidR="0056525F" w:rsidRDefault="00000000">
            <w:pPr>
              <w:widowControl w:val="0"/>
              <w:numPr>
                <w:ilvl w:val="0"/>
                <w:numId w:val="1"/>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Discussion, with mandatory subheading: Limitations. </w:t>
            </w:r>
          </w:p>
          <w:p w14:paraId="66948DB7" w14:textId="77777777" w:rsidR="0056525F" w:rsidRDefault="00000000">
            <w:pPr>
              <w:widowControl w:val="0"/>
              <w:numPr>
                <w:ilvl w:val="0"/>
                <w:numId w:val="1"/>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Data Availability Statement </w:t>
            </w:r>
          </w:p>
          <w:p w14:paraId="6C0D9160" w14:textId="77777777" w:rsidR="0056525F" w:rsidRDefault="00000000">
            <w:pPr>
              <w:widowControl w:val="0"/>
              <w:numPr>
                <w:ilvl w:val="0"/>
                <w:numId w:val="1"/>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Code Availability Statement </w:t>
            </w:r>
          </w:p>
          <w:p w14:paraId="5F8EFF4B" w14:textId="77777777" w:rsidR="0056525F" w:rsidRDefault="00000000">
            <w:pPr>
              <w:widowControl w:val="0"/>
              <w:numPr>
                <w:ilvl w:val="0"/>
                <w:numId w:val="1"/>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References</w:t>
            </w:r>
          </w:p>
        </w:tc>
        <w:tc>
          <w:tcPr>
            <w:tcW w:w="1418" w:type="dxa"/>
            <w:shd w:val="clear" w:color="auto" w:fill="FFFFFF"/>
            <w:tcMar>
              <w:top w:w="100" w:type="dxa"/>
              <w:left w:w="100" w:type="dxa"/>
              <w:bottom w:w="100" w:type="dxa"/>
              <w:right w:w="100" w:type="dxa"/>
            </w:tcMar>
          </w:tcPr>
          <w:p w14:paraId="0BE4BDFC" w14:textId="6AC1789A" w:rsidR="0056525F" w:rsidRDefault="004232F1">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1E7DFA82" w14:textId="77777777">
        <w:tc>
          <w:tcPr>
            <w:tcW w:w="12039" w:type="dxa"/>
            <w:shd w:val="clear" w:color="auto" w:fill="FFFFFF"/>
            <w:tcMar>
              <w:top w:w="100" w:type="dxa"/>
              <w:left w:w="100" w:type="dxa"/>
              <w:bottom w:w="100" w:type="dxa"/>
              <w:right w:w="100" w:type="dxa"/>
            </w:tcMar>
          </w:tcPr>
          <w:p w14:paraId="34846876"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Language:</w:t>
            </w:r>
          </w:p>
          <w:p w14:paraId="56A85893"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The absence of evidence for an effect (eg. non-significant finding in NHST in the literature or the present study) is not treated as evidence for the absence of an effect. </w:t>
            </w:r>
          </w:p>
        </w:tc>
        <w:tc>
          <w:tcPr>
            <w:tcW w:w="1418" w:type="dxa"/>
            <w:shd w:val="clear" w:color="auto" w:fill="FFFFFF"/>
            <w:tcMar>
              <w:top w:w="100" w:type="dxa"/>
              <w:left w:w="100" w:type="dxa"/>
              <w:bottom w:w="100" w:type="dxa"/>
              <w:right w:w="100" w:type="dxa"/>
            </w:tcMar>
          </w:tcPr>
          <w:p w14:paraId="135AD3D9" w14:textId="7FB97596" w:rsidR="0056525F" w:rsidRDefault="004232F1">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0961CA25" w14:textId="77777777">
        <w:tc>
          <w:tcPr>
            <w:tcW w:w="12039" w:type="dxa"/>
            <w:shd w:val="clear" w:color="auto" w:fill="FFFFFF"/>
            <w:tcMar>
              <w:top w:w="100" w:type="dxa"/>
              <w:left w:w="100" w:type="dxa"/>
              <w:bottom w:w="100" w:type="dxa"/>
              <w:right w:w="100" w:type="dxa"/>
            </w:tcMar>
          </w:tcPr>
          <w:p w14:paraId="62001C6D"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Language:</w:t>
            </w:r>
          </w:p>
          <w:p w14:paraId="394F5B36"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Causal claims are only permissible where causal evidence is provided. Correlational evidence is not used to support causal claims.</w:t>
            </w:r>
          </w:p>
        </w:tc>
        <w:tc>
          <w:tcPr>
            <w:tcW w:w="1418" w:type="dxa"/>
            <w:shd w:val="clear" w:color="auto" w:fill="FFFFFF"/>
            <w:tcMar>
              <w:top w:w="100" w:type="dxa"/>
              <w:left w:w="100" w:type="dxa"/>
              <w:bottom w:w="100" w:type="dxa"/>
              <w:right w:w="100" w:type="dxa"/>
            </w:tcMar>
          </w:tcPr>
          <w:p w14:paraId="346B09C0" w14:textId="3C32B5D2" w:rsidR="0056525F" w:rsidRDefault="004232F1">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0ECFB5B9" w14:textId="77777777">
        <w:tc>
          <w:tcPr>
            <w:tcW w:w="12039" w:type="dxa"/>
            <w:shd w:val="clear" w:color="auto" w:fill="FFFFFF"/>
            <w:tcMar>
              <w:top w:w="100" w:type="dxa"/>
              <w:left w:w="100" w:type="dxa"/>
              <w:bottom w:w="100" w:type="dxa"/>
              <w:right w:w="100" w:type="dxa"/>
            </w:tcMar>
          </w:tcPr>
          <w:p w14:paraId="0794942F"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Language:</w:t>
            </w:r>
          </w:p>
          <w:p w14:paraId="6A057F07"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There are no policy or intervention recommendations unless (policy) interventions were directly tested in the work.</w:t>
            </w:r>
          </w:p>
        </w:tc>
        <w:tc>
          <w:tcPr>
            <w:tcW w:w="1418" w:type="dxa"/>
            <w:shd w:val="clear" w:color="auto" w:fill="FFFFFF"/>
            <w:tcMar>
              <w:top w:w="100" w:type="dxa"/>
              <w:left w:w="100" w:type="dxa"/>
              <w:bottom w:w="100" w:type="dxa"/>
              <w:right w:w="100" w:type="dxa"/>
            </w:tcMar>
          </w:tcPr>
          <w:p w14:paraId="6FE712F8" w14:textId="4B055EF7" w:rsidR="0056525F" w:rsidRDefault="004232F1">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2AF1E8B8" w14:textId="77777777">
        <w:tc>
          <w:tcPr>
            <w:tcW w:w="12039" w:type="dxa"/>
            <w:shd w:val="clear" w:color="auto" w:fill="FFFFFF"/>
            <w:tcMar>
              <w:top w:w="100" w:type="dxa"/>
              <w:left w:w="100" w:type="dxa"/>
              <w:bottom w:w="100" w:type="dxa"/>
              <w:right w:w="100" w:type="dxa"/>
            </w:tcMar>
          </w:tcPr>
          <w:p w14:paraId="517B36F9"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We recommend that authors familiarize themselves with inclusive language guidelines (e.g. https://www.apa.org/about/apa/equity-diversity-inclusion/language-guidelines) and avoid discriminatory language in writing.</w:t>
            </w:r>
          </w:p>
        </w:tc>
        <w:tc>
          <w:tcPr>
            <w:tcW w:w="1418" w:type="dxa"/>
            <w:shd w:val="clear" w:color="auto" w:fill="FFFFFF"/>
            <w:tcMar>
              <w:top w:w="100" w:type="dxa"/>
              <w:left w:w="100" w:type="dxa"/>
              <w:bottom w:w="100" w:type="dxa"/>
              <w:right w:w="100" w:type="dxa"/>
            </w:tcMar>
          </w:tcPr>
          <w:p w14:paraId="7EF8D435" w14:textId="61D33EDF" w:rsidR="0056525F" w:rsidRDefault="004232F1">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3DB2964E" w14:textId="77777777">
        <w:tc>
          <w:tcPr>
            <w:tcW w:w="12039" w:type="dxa"/>
            <w:shd w:val="clear" w:color="auto" w:fill="4F7885"/>
            <w:tcMar>
              <w:top w:w="100" w:type="dxa"/>
              <w:left w:w="100" w:type="dxa"/>
              <w:bottom w:w="100" w:type="dxa"/>
              <w:right w:w="100" w:type="dxa"/>
            </w:tcMar>
          </w:tcPr>
          <w:p w14:paraId="1D79B13D" w14:textId="77777777" w:rsidR="0056525F" w:rsidRDefault="00000000">
            <w:pPr>
              <w:widowControl w:val="0"/>
              <w:pBdr>
                <w:top w:val="nil"/>
                <w:left w:val="nil"/>
                <w:bottom w:val="nil"/>
                <w:right w:val="nil"/>
                <w:between w:val="nil"/>
              </w:pBdr>
              <w:rPr>
                <w:rFonts w:ascii="Calibri" w:eastAsia="Calibri" w:hAnsi="Calibri" w:cs="Calibri"/>
                <w:b/>
                <w:color w:val="FFFFFF"/>
                <w:sz w:val="36"/>
                <w:szCs w:val="36"/>
              </w:rPr>
            </w:pPr>
            <w:r>
              <w:rPr>
                <w:rFonts w:ascii="Calibri" w:eastAsia="Calibri" w:hAnsi="Calibri" w:cs="Calibri"/>
                <w:b/>
                <w:color w:val="FFFFFF"/>
                <w:sz w:val="36"/>
                <w:szCs w:val="36"/>
              </w:rPr>
              <w:t>Methods</w:t>
            </w:r>
          </w:p>
        </w:tc>
        <w:tc>
          <w:tcPr>
            <w:tcW w:w="1418" w:type="dxa"/>
            <w:shd w:val="clear" w:color="auto" w:fill="4F7885"/>
            <w:tcMar>
              <w:top w:w="100" w:type="dxa"/>
              <w:left w:w="100" w:type="dxa"/>
              <w:bottom w:w="100" w:type="dxa"/>
              <w:right w:w="100" w:type="dxa"/>
            </w:tcMar>
          </w:tcPr>
          <w:p w14:paraId="60913532" w14:textId="77777777" w:rsidR="0056525F" w:rsidRDefault="0056525F">
            <w:pPr>
              <w:widowControl w:val="0"/>
              <w:pBdr>
                <w:top w:val="nil"/>
                <w:left w:val="nil"/>
                <w:bottom w:val="nil"/>
                <w:right w:val="nil"/>
                <w:between w:val="nil"/>
              </w:pBdr>
              <w:rPr>
                <w:rFonts w:ascii="Calibri" w:eastAsia="Calibri" w:hAnsi="Calibri" w:cs="Calibri"/>
                <w:b/>
                <w:color w:val="FFFFFF"/>
                <w:sz w:val="20"/>
                <w:szCs w:val="20"/>
              </w:rPr>
            </w:pPr>
          </w:p>
        </w:tc>
      </w:tr>
      <w:tr w:rsidR="0056525F" w14:paraId="24B4563B" w14:textId="77777777">
        <w:tc>
          <w:tcPr>
            <w:tcW w:w="12039" w:type="dxa"/>
            <w:shd w:val="clear" w:color="auto" w:fill="FFFFFF"/>
            <w:tcMar>
              <w:top w:w="100" w:type="dxa"/>
              <w:left w:w="100" w:type="dxa"/>
              <w:bottom w:w="100" w:type="dxa"/>
              <w:right w:w="100" w:type="dxa"/>
            </w:tcMar>
          </w:tcPr>
          <w:p w14:paraId="073D11B2"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The Methods contain sufficient detail such that the work could be repeated by an independent researcher. </w:t>
            </w:r>
          </w:p>
          <w:p w14:paraId="4CDC8798"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All key methods are included in the Methods section in the main manuscript, rather than in the Supplementary Information.</w:t>
            </w:r>
          </w:p>
        </w:tc>
        <w:tc>
          <w:tcPr>
            <w:tcW w:w="1418" w:type="dxa"/>
            <w:shd w:val="clear" w:color="auto" w:fill="FFFFFF"/>
            <w:tcMar>
              <w:top w:w="100" w:type="dxa"/>
              <w:left w:w="100" w:type="dxa"/>
              <w:bottom w:w="100" w:type="dxa"/>
              <w:right w:w="100" w:type="dxa"/>
            </w:tcMar>
          </w:tcPr>
          <w:p w14:paraId="434AB952" w14:textId="63842784" w:rsidR="0056525F" w:rsidRDefault="004232F1">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2219B842" w14:textId="77777777">
        <w:tc>
          <w:tcPr>
            <w:tcW w:w="12039" w:type="dxa"/>
            <w:shd w:val="clear" w:color="auto" w:fill="FFFFFF"/>
            <w:tcMar>
              <w:top w:w="100" w:type="dxa"/>
              <w:left w:w="100" w:type="dxa"/>
              <w:bottom w:w="100" w:type="dxa"/>
              <w:right w:w="100" w:type="dxa"/>
            </w:tcMar>
          </w:tcPr>
          <w:p w14:paraId="355CEE4D"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lastRenderedPageBreak/>
              <w:t>All information present in the Reporting Summary is also in the manuscript.</w:t>
            </w:r>
          </w:p>
        </w:tc>
        <w:tc>
          <w:tcPr>
            <w:tcW w:w="1418" w:type="dxa"/>
            <w:shd w:val="clear" w:color="auto" w:fill="FFFFFF"/>
            <w:tcMar>
              <w:top w:w="100" w:type="dxa"/>
              <w:left w:w="100" w:type="dxa"/>
              <w:bottom w:w="100" w:type="dxa"/>
              <w:right w:w="100" w:type="dxa"/>
            </w:tcMar>
          </w:tcPr>
          <w:p w14:paraId="492EC3C8" w14:textId="1A8AA708" w:rsidR="0056525F" w:rsidRDefault="004232F1">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3E7F7B07" w14:textId="77777777">
        <w:tc>
          <w:tcPr>
            <w:tcW w:w="12039" w:type="dxa"/>
            <w:shd w:val="clear" w:color="auto" w:fill="FFFFFF"/>
            <w:tcMar>
              <w:top w:w="100" w:type="dxa"/>
              <w:left w:w="100" w:type="dxa"/>
              <w:bottom w:w="100" w:type="dxa"/>
              <w:right w:w="100" w:type="dxa"/>
            </w:tcMar>
          </w:tcPr>
          <w:p w14:paraId="4FBE8555"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If there was no preregistration of any study, is declared in the Methods section for transparency. Conversely, if any of the reported studies were preregistered, there is an active link to the preregistration in the Methods section and the Methods include a statement about the date of preregistration. All deviations from the preregistered protocol are stated and there is a rationale for each deviation (e.g., flaw, feasibility, suboptimality). In cases of deviation from the preregistered analysis plan for reasons other than fundamental flaw or feasibility, the originally planned analyses are reported.</w:t>
            </w:r>
          </w:p>
        </w:tc>
        <w:tc>
          <w:tcPr>
            <w:tcW w:w="1418" w:type="dxa"/>
            <w:shd w:val="clear" w:color="auto" w:fill="FFFFFF"/>
            <w:tcMar>
              <w:top w:w="100" w:type="dxa"/>
              <w:left w:w="100" w:type="dxa"/>
              <w:bottom w:w="100" w:type="dxa"/>
              <w:right w:w="100" w:type="dxa"/>
            </w:tcMar>
          </w:tcPr>
          <w:p w14:paraId="5B0DE10C" w14:textId="4DB61FCA" w:rsidR="0056525F" w:rsidRDefault="004232F1">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53FEA413" w14:textId="77777777">
        <w:tc>
          <w:tcPr>
            <w:tcW w:w="12039" w:type="dxa"/>
            <w:shd w:val="clear" w:color="auto" w:fill="FFFFFF"/>
            <w:tcMar>
              <w:top w:w="100" w:type="dxa"/>
              <w:left w:w="100" w:type="dxa"/>
              <w:bottom w:w="100" w:type="dxa"/>
              <w:right w:w="100" w:type="dxa"/>
            </w:tcMar>
          </w:tcPr>
          <w:p w14:paraId="3B9F8413"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If any </w:t>
            </w:r>
            <w:r>
              <w:rPr>
                <w:rFonts w:ascii="Calibri" w:eastAsia="Calibri" w:hAnsi="Calibri" w:cs="Calibri"/>
                <w:sz w:val="20"/>
                <w:szCs w:val="20"/>
              </w:rPr>
              <w:t xml:space="preserve">participants </w:t>
            </w:r>
            <w:r>
              <w:rPr>
                <w:rFonts w:ascii="Calibri" w:eastAsia="Calibri" w:hAnsi="Calibri" w:cs="Calibri"/>
                <w:color w:val="000000"/>
                <w:sz w:val="20"/>
                <w:szCs w:val="20"/>
              </w:rPr>
              <w:t>or data points were excluded from the analyses for any reason this is noted with a rationale for the exclusions.</w:t>
            </w:r>
          </w:p>
        </w:tc>
        <w:tc>
          <w:tcPr>
            <w:tcW w:w="1418" w:type="dxa"/>
            <w:shd w:val="clear" w:color="auto" w:fill="FFFFFF"/>
            <w:tcMar>
              <w:top w:w="100" w:type="dxa"/>
              <w:left w:w="100" w:type="dxa"/>
              <w:bottom w:w="100" w:type="dxa"/>
              <w:right w:w="100" w:type="dxa"/>
            </w:tcMar>
          </w:tcPr>
          <w:p w14:paraId="719AA025" w14:textId="79FBB939" w:rsidR="0056525F" w:rsidRDefault="004232F1">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52973B48" w14:textId="77777777">
        <w:tc>
          <w:tcPr>
            <w:tcW w:w="12039" w:type="dxa"/>
            <w:shd w:val="clear" w:color="auto" w:fill="FFFFFF"/>
            <w:tcMar>
              <w:top w:w="100" w:type="dxa"/>
              <w:left w:w="100" w:type="dxa"/>
              <w:bottom w:w="100" w:type="dxa"/>
              <w:right w:w="100" w:type="dxa"/>
            </w:tcMar>
          </w:tcPr>
          <w:p w14:paraId="6AE957D3"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Where human or non-human participants are involved, confirmation that all relevant ethical regulations were followed is provided. For human studies, there must be a confirmation that informed consent. This must be stated in the Methods section, including the name of the board and institution that approved the study protocol. </w:t>
            </w:r>
          </w:p>
          <w:p w14:paraId="14DB1B36"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If Ethical approval and/or informed consent was waived the reason is included, citing the board and institution to grant this exemption. Editors might ask you to provide additional supporting documentation.</w:t>
            </w:r>
          </w:p>
        </w:tc>
        <w:tc>
          <w:tcPr>
            <w:tcW w:w="1418" w:type="dxa"/>
            <w:shd w:val="clear" w:color="auto" w:fill="FFFFFF"/>
            <w:tcMar>
              <w:top w:w="100" w:type="dxa"/>
              <w:left w:w="100" w:type="dxa"/>
              <w:bottom w:w="100" w:type="dxa"/>
              <w:right w:w="100" w:type="dxa"/>
            </w:tcMar>
          </w:tcPr>
          <w:p w14:paraId="34AFAD47" w14:textId="45FDCA54" w:rsidR="0056525F" w:rsidRDefault="004232F1">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0166CC1C" w14:textId="77777777">
        <w:tc>
          <w:tcPr>
            <w:tcW w:w="12039" w:type="dxa"/>
            <w:shd w:val="clear" w:color="auto" w:fill="FFFFFF"/>
            <w:tcMar>
              <w:top w:w="100" w:type="dxa"/>
              <w:left w:w="100" w:type="dxa"/>
              <w:bottom w:w="100" w:type="dxa"/>
              <w:right w:w="100" w:type="dxa"/>
            </w:tcMar>
          </w:tcPr>
          <w:p w14:paraId="0ECA25BB"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Reporting sex and/or gender should follow the SAGER guidelines (https://doi.org/10.1186/s41073-016-0007-6). </w:t>
            </w:r>
          </w:p>
          <w:p w14:paraId="7C1631F9"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Mention how sex/gender were determined (e.g., information provided by participants) in the Methods and Reporting Summary. Age must be reported.</w:t>
            </w:r>
          </w:p>
          <w:p w14:paraId="7A8822C0"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Please report whether data on race / ethnicity was collected. If it was, please include the information in the Reporting Summary and in the Methods section.</w:t>
            </w:r>
          </w:p>
          <w:p w14:paraId="53AA2559"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Other demographics are reported if relevant and only if reporting does not disproportionately the increase risk of identification.</w:t>
            </w:r>
          </w:p>
          <w:p w14:paraId="41679C13" w14:textId="77777777" w:rsidR="0056525F" w:rsidRDefault="0056525F">
            <w:pPr>
              <w:widowControl w:val="0"/>
              <w:pBdr>
                <w:top w:val="nil"/>
                <w:left w:val="nil"/>
                <w:bottom w:val="nil"/>
                <w:right w:val="nil"/>
                <w:between w:val="nil"/>
              </w:pBdr>
              <w:rPr>
                <w:rFonts w:ascii="Calibri" w:eastAsia="Calibri" w:hAnsi="Calibri" w:cs="Calibri"/>
                <w:color w:val="000000"/>
                <w:sz w:val="20"/>
                <w:szCs w:val="20"/>
              </w:rPr>
            </w:pPr>
          </w:p>
          <w:p w14:paraId="3EDB6F73"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Please also provide information on participant compensation.</w:t>
            </w:r>
          </w:p>
          <w:p w14:paraId="034F73DC" w14:textId="77777777" w:rsidR="0056525F" w:rsidRDefault="0056525F">
            <w:pPr>
              <w:widowControl w:val="0"/>
              <w:pBdr>
                <w:top w:val="nil"/>
                <w:left w:val="nil"/>
                <w:bottom w:val="nil"/>
                <w:right w:val="nil"/>
                <w:between w:val="nil"/>
              </w:pBdr>
              <w:rPr>
                <w:rFonts w:ascii="Calibri" w:eastAsia="Calibri" w:hAnsi="Calibri" w:cs="Calibri"/>
                <w:color w:val="000000"/>
                <w:sz w:val="20"/>
                <w:szCs w:val="20"/>
              </w:rPr>
            </w:pPr>
          </w:p>
          <w:p w14:paraId="1A1C73AD"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Relevant policy: https://www.nature.com/nature-portfolio/editorial-policies/ethics-and-biosecurity#Research-with-human-participants-their-data-or-biological-material</w:t>
            </w:r>
          </w:p>
        </w:tc>
        <w:tc>
          <w:tcPr>
            <w:tcW w:w="1418" w:type="dxa"/>
            <w:shd w:val="clear" w:color="auto" w:fill="FFFFFF"/>
            <w:tcMar>
              <w:top w:w="100" w:type="dxa"/>
              <w:left w:w="100" w:type="dxa"/>
              <w:bottom w:w="100" w:type="dxa"/>
              <w:right w:w="100" w:type="dxa"/>
            </w:tcMar>
          </w:tcPr>
          <w:p w14:paraId="508E6288" w14:textId="416969B9" w:rsidR="0056525F" w:rsidRDefault="004232F1">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5857708E" w14:textId="77777777">
        <w:tc>
          <w:tcPr>
            <w:tcW w:w="12039" w:type="dxa"/>
            <w:shd w:val="clear" w:color="auto" w:fill="FFFFFF"/>
            <w:tcMar>
              <w:top w:w="100" w:type="dxa"/>
              <w:left w:w="100" w:type="dxa"/>
              <w:bottom w:w="100" w:type="dxa"/>
              <w:right w:w="100" w:type="dxa"/>
            </w:tcMar>
          </w:tcPr>
          <w:p w14:paraId="5FB0F356"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Please ensure that the Methods section includes a statement indicating whether the data met the assumptions of the statistical tests used, including whether normality and equal variances were formally tested.</w:t>
            </w:r>
          </w:p>
        </w:tc>
        <w:tc>
          <w:tcPr>
            <w:tcW w:w="1418" w:type="dxa"/>
            <w:shd w:val="clear" w:color="auto" w:fill="FFFFFF"/>
            <w:tcMar>
              <w:top w:w="100" w:type="dxa"/>
              <w:left w:w="100" w:type="dxa"/>
              <w:bottom w:w="100" w:type="dxa"/>
              <w:right w:w="100" w:type="dxa"/>
            </w:tcMar>
          </w:tcPr>
          <w:p w14:paraId="227407AE" w14:textId="0495CE25" w:rsidR="0056525F" w:rsidRDefault="004232F1">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00638266" w14:textId="77777777">
        <w:tc>
          <w:tcPr>
            <w:tcW w:w="12039" w:type="dxa"/>
            <w:shd w:val="clear" w:color="auto" w:fill="FFFFFF"/>
            <w:tcMar>
              <w:top w:w="100" w:type="dxa"/>
              <w:left w:w="100" w:type="dxa"/>
              <w:bottom w:w="100" w:type="dxa"/>
              <w:right w:w="100" w:type="dxa"/>
            </w:tcMar>
          </w:tcPr>
          <w:p w14:paraId="2D85E954"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For Systematic Reviews and Meta-Analyses, please follow the PRISMA guidelines for reporting.</w:t>
            </w:r>
          </w:p>
          <w:p w14:paraId="05550B05"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lastRenderedPageBreak/>
              <w:t>Please fully complete a PRISMA checklist (adding information to the manuscript where needed) and upload this with your revised manuscript.</w:t>
            </w:r>
          </w:p>
          <w:p w14:paraId="2A946794"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https://prisma-statement.org/PRISMAStatement/Checklist.aspx</w:t>
            </w:r>
          </w:p>
        </w:tc>
        <w:tc>
          <w:tcPr>
            <w:tcW w:w="1418" w:type="dxa"/>
            <w:shd w:val="clear" w:color="auto" w:fill="FFFFFF"/>
            <w:tcMar>
              <w:top w:w="100" w:type="dxa"/>
              <w:left w:w="100" w:type="dxa"/>
              <w:bottom w:w="100" w:type="dxa"/>
              <w:right w:w="100" w:type="dxa"/>
            </w:tcMar>
          </w:tcPr>
          <w:p w14:paraId="1A566B6A" w14:textId="53D30A67" w:rsidR="0056525F" w:rsidRDefault="00E36A40">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lastRenderedPageBreak/>
              <w:t>N/A</w:t>
            </w:r>
          </w:p>
        </w:tc>
      </w:tr>
      <w:tr w:rsidR="0056525F" w14:paraId="024493A8" w14:textId="77777777">
        <w:tc>
          <w:tcPr>
            <w:tcW w:w="12039" w:type="dxa"/>
            <w:shd w:val="clear" w:color="auto" w:fill="FFFFFF"/>
            <w:tcMar>
              <w:top w:w="100" w:type="dxa"/>
              <w:left w:w="100" w:type="dxa"/>
              <w:bottom w:w="100" w:type="dxa"/>
              <w:right w:w="100" w:type="dxa"/>
            </w:tcMar>
          </w:tcPr>
          <w:p w14:paraId="048E4213"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For reporting of case reports please follow the CARE guidelines:</w:t>
            </w:r>
          </w:p>
          <w:p w14:paraId="60897D29"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Please fully complete the CARE checklist (adding information to the manuscript where needed) and upload this with your revised manuscript.</w:t>
            </w:r>
          </w:p>
          <w:p w14:paraId="15938731"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https://www.care-statement.org/downloads</w:t>
            </w:r>
          </w:p>
        </w:tc>
        <w:tc>
          <w:tcPr>
            <w:tcW w:w="1418" w:type="dxa"/>
            <w:shd w:val="clear" w:color="auto" w:fill="FFFFFF"/>
            <w:tcMar>
              <w:top w:w="100" w:type="dxa"/>
              <w:left w:w="100" w:type="dxa"/>
              <w:bottom w:w="100" w:type="dxa"/>
              <w:right w:w="100" w:type="dxa"/>
            </w:tcMar>
          </w:tcPr>
          <w:p w14:paraId="57B628B5" w14:textId="6EEB1A2C" w:rsidR="0056525F" w:rsidRDefault="00E36A40">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N/A</w:t>
            </w:r>
          </w:p>
        </w:tc>
      </w:tr>
      <w:tr w:rsidR="0056525F" w14:paraId="54D7236F" w14:textId="77777777">
        <w:tc>
          <w:tcPr>
            <w:tcW w:w="12039" w:type="dxa"/>
            <w:shd w:val="clear" w:color="auto" w:fill="FFFFFF"/>
            <w:tcMar>
              <w:top w:w="100" w:type="dxa"/>
              <w:left w:w="100" w:type="dxa"/>
              <w:bottom w:w="100" w:type="dxa"/>
              <w:right w:w="100" w:type="dxa"/>
            </w:tcMar>
          </w:tcPr>
          <w:p w14:paraId="1BE136BA"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Please follow the CONSORT extension for N-of-1 trials for reporting of the case report. </w:t>
            </w:r>
          </w:p>
          <w:p w14:paraId="29FD34DF" w14:textId="77777777" w:rsidR="0056525F" w:rsidRDefault="0056525F">
            <w:pPr>
              <w:widowControl w:val="0"/>
              <w:pBdr>
                <w:top w:val="nil"/>
                <w:left w:val="nil"/>
                <w:bottom w:val="nil"/>
                <w:right w:val="nil"/>
                <w:between w:val="nil"/>
              </w:pBdr>
              <w:rPr>
                <w:rFonts w:ascii="Calibri" w:eastAsia="Calibri" w:hAnsi="Calibri" w:cs="Calibri"/>
                <w:color w:val="000000"/>
                <w:sz w:val="20"/>
                <w:szCs w:val="20"/>
              </w:rPr>
            </w:pPr>
          </w:p>
          <w:p w14:paraId="71E21B70"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Please fully complete the CONSORT N-of-1 checklist (adding information to the manuscript where needed) and upload this with your revised manuscript.</w:t>
            </w:r>
          </w:p>
          <w:p w14:paraId="0A437C05"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http://www.consort-statement.org/extensions/overview/n-of-1</w:t>
            </w:r>
          </w:p>
        </w:tc>
        <w:tc>
          <w:tcPr>
            <w:tcW w:w="1418" w:type="dxa"/>
            <w:shd w:val="clear" w:color="auto" w:fill="FFFFFF"/>
            <w:tcMar>
              <w:top w:w="100" w:type="dxa"/>
              <w:left w:w="100" w:type="dxa"/>
              <w:bottom w:w="100" w:type="dxa"/>
              <w:right w:w="100" w:type="dxa"/>
            </w:tcMar>
          </w:tcPr>
          <w:p w14:paraId="59F987AF" w14:textId="36799C38" w:rsidR="0056525F" w:rsidRDefault="00E36A40">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N/A</w:t>
            </w:r>
          </w:p>
        </w:tc>
      </w:tr>
      <w:tr w:rsidR="0056525F" w14:paraId="629F77E1" w14:textId="77777777">
        <w:tc>
          <w:tcPr>
            <w:tcW w:w="12039" w:type="dxa"/>
            <w:shd w:val="clear" w:color="auto" w:fill="FFFFFF"/>
            <w:tcMar>
              <w:top w:w="100" w:type="dxa"/>
              <w:left w:w="100" w:type="dxa"/>
              <w:bottom w:w="100" w:type="dxa"/>
              <w:right w:w="100" w:type="dxa"/>
            </w:tcMar>
          </w:tcPr>
          <w:p w14:paraId="5C773183"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For the reporting of a clinical trial, please follow the CONSORT 2010 guidelines </w:t>
            </w:r>
          </w:p>
          <w:p w14:paraId="63B366C6"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Please fully complete a CONSORT 2010 checklist (adding information to the manuscript where needed) and upload this with your revised manuscript.</w:t>
            </w:r>
          </w:p>
          <w:p w14:paraId="747AA141"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hyperlink r:id="rId8">
              <w:r>
                <w:rPr>
                  <w:rFonts w:ascii="Calibri" w:eastAsia="Calibri" w:hAnsi="Calibri" w:cs="Calibri"/>
                  <w:color w:val="0000FF"/>
                  <w:sz w:val="20"/>
                  <w:szCs w:val="20"/>
                  <w:u w:val="single"/>
                </w:rPr>
                <w:t>http://www.consort-statement.org/consort-2010</w:t>
              </w:r>
            </w:hyperlink>
          </w:p>
          <w:p w14:paraId="1F8926F6" w14:textId="77777777" w:rsidR="0056525F" w:rsidRDefault="0056525F">
            <w:pPr>
              <w:widowControl w:val="0"/>
              <w:pBdr>
                <w:top w:val="nil"/>
                <w:left w:val="nil"/>
                <w:bottom w:val="nil"/>
                <w:right w:val="nil"/>
                <w:between w:val="nil"/>
              </w:pBdr>
            </w:pPr>
          </w:p>
          <w:p w14:paraId="6BA87804"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sz w:val="20"/>
                <w:szCs w:val="20"/>
              </w:rPr>
              <w:t>Include the trial registration number from ClinicalTrials.gov or an equivalent agency</w:t>
            </w:r>
            <w:r>
              <w:rPr>
                <w:rFonts w:ascii="Calibri" w:eastAsia="Calibri" w:hAnsi="Calibri" w:cs="Calibri"/>
                <w:color w:val="000000"/>
                <w:sz w:val="20"/>
                <w:szCs w:val="20"/>
              </w:rPr>
              <w:t>.</w:t>
            </w:r>
          </w:p>
        </w:tc>
        <w:tc>
          <w:tcPr>
            <w:tcW w:w="1418" w:type="dxa"/>
            <w:shd w:val="clear" w:color="auto" w:fill="FFFFFF"/>
            <w:tcMar>
              <w:top w:w="100" w:type="dxa"/>
              <w:left w:w="100" w:type="dxa"/>
              <w:bottom w:w="100" w:type="dxa"/>
              <w:right w:w="100" w:type="dxa"/>
            </w:tcMar>
          </w:tcPr>
          <w:p w14:paraId="39112AB0" w14:textId="10CD92E8" w:rsidR="0056525F" w:rsidRDefault="00E36A40">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N/A</w:t>
            </w:r>
          </w:p>
        </w:tc>
      </w:tr>
      <w:tr w:rsidR="0056525F" w14:paraId="4423C6CC" w14:textId="77777777">
        <w:tc>
          <w:tcPr>
            <w:tcW w:w="12039" w:type="dxa"/>
            <w:shd w:val="clear" w:color="auto" w:fill="FFFFFF"/>
            <w:tcMar>
              <w:top w:w="100" w:type="dxa"/>
              <w:left w:w="100" w:type="dxa"/>
              <w:bottom w:w="100" w:type="dxa"/>
              <w:right w:w="100" w:type="dxa"/>
            </w:tcMar>
          </w:tcPr>
          <w:p w14:paraId="1AC6D9B1"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For Clinical Trials involving AI, please follow the guidelines of the CONSORT-AI extension in the reporting of the trial in addition to the core the CONSORT 2010 guidelines.</w:t>
            </w:r>
          </w:p>
          <w:p w14:paraId="599A24CE" w14:textId="77777777" w:rsidR="0056525F" w:rsidRDefault="0056525F">
            <w:pPr>
              <w:widowControl w:val="0"/>
              <w:pBdr>
                <w:top w:val="nil"/>
                <w:left w:val="nil"/>
                <w:bottom w:val="nil"/>
                <w:right w:val="nil"/>
                <w:between w:val="nil"/>
              </w:pBdr>
              <w:rPr>
                <w:rFonts w:ascii="Calibri" w:eastAsia="Calibri" w:hAnsi="Calibri" w:cs="Calibri"/>
                <w:color w:val="000000"/>
                <w:sz w:val="20"/>
                <w:szCs w:val="20"/>
              </w:rPr>
            </w:pPr>
          </w:p>
          <w:p w14:paraId="0982D3F2"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Please fully complete a CONSORT-AI checklist (adding information to the manuscript where needed) and upload this with your revised manuscript.</w:t>
            </w:r>
          </w:p>
          <w:p w14:paraId="7B09ADF9"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https://www.nature.com/articles/s41591-020-1034-x/tables/2</w:t>
            </w:r>
          </w:p>
        </w:tc>
        <w:tc>
          <w:tcPr>
            <w:tcW w:w="1418" w:type="dxa"/>
            <w:shd w:val="clear" w:color="auto" w:fill="FFFFFF"/>
            <w:tcMar>
              <w:top w:w="100" w:type="dxa"/>
              <w:left w:w="100" w:type="dxa"/>
              <w:bottom w:w="100" w:type="dxa"/>
              <w:right w:w="100" w:type="dxa"/>
            </w:tcMar>
          </w:tcPr>
          <w:p w14:paraId="3D64191A" w14:textId="5228F1B3" w:rsidR="0056525F" w:rsidRDefault="00E36A40">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N/A</w:t>
            </w:r>
          </w:p>
        </w:tc>
      </w:tr>
      <w:tr w:rsidR="0056525F" w14:paraId="3B3C0487" w14:textId="77777777">
        <w:tc>
          <w:tcPr>
            <w:tcW w:w="12039" w:type="dxa"/>
            <w:shd w:val="clear" w:color="auto" w:fill="4F7885"/>
            <w:tcMar>
              <w:top w:w="100" w:type="dxa"/>
              <w:left w:w="100" w:type="dxa"/>
              <w:bottom w:w="100" w:type="dxa"/>
              <w:right w:w="100" w:type="dxa"/>
            </w:tcMar>
          </w:tcPr>
          <w:p w14:paraId="2B8E5D79" w14:textId="77777777" w:rsidR="0056525F" w:rsidRDefault="00000000">
            <w:pPr>
              <w:widowControl w:val="0"/>
              <w:pBdr>
                <w:top w:val="nil"/>
                <w:left w:val="nil"/>
                <w:bottom w:val="nil"/>
                <w:right w:val="nil"/>
                <w:between w:val="nil"/>
              </w:pBdr>
              <w:rPr>
                <w:rFonts w:ascii="Calibri" w:eastAsia="Calibri" w:hAnsi="Calibri" w:cs="Calibri"/>
                <w:b/>
                <w:color w:val="FFFFFF"/>
                <w:sz w:val="36"/>
                <w:szCs w:val="36"/>
              </w:rPr>
            </w:pPr>
            <w:r>
              <w:rPr>
                <w:rFonts w:ascii="Calibri" w:eastAsia="Calibri" w:hAnsi="Calibri" w:cs="Calibri"/>
                <w:b/>
                <w:color w:val="FFFFFF"/>
                <w:sz w:val="36"/>
                <w:szCs w:val="36"/>
              </w:rPr>
              <w:t>Results</w:t>
            </w:r>
          </w:p>
        </w:tc>
        <w:tc>
          <w:tcPr>
            <w:tcW w:w="1418" w:type="dxa"/>
            <w:shd w:val="clear" w:color="auto" w:fill="4F7885"/>
            <w:tcMar>
              <w:top w:w="100" w:type="dxa"/>
              <w:left w:w="100" w:type="dxa"/>
              <w:bottom w:w="100" w:type="dxa"/>
              <w:right w:w="100" w:type="dxa"/>
            </w:tcMar>
          </w:tcPr>
          <w:p w14:paraId="0FA4AAE0" w14:textId="77777777" w:rsidR="0056525F" w:rsidRDefault="00000000">
            <w:pPr>
              <w:widowControl w:val="0"/>
              <w:pBdr>
                <w:top w:val="nil"/>
                <w:left w:val="nil"/>
                <w:bottom w:val="nil"/>
                <w:right w:val="nil"/>
                <w:between w:val="nil"/>
              </w:pBdr>
              <w:rPr>
                <w:rFonts w:ascii="Calibri" w:eastAsia="Calibri" w:hAnsi="Calibri" w:cs="Calibri"/>
                <w:b/>
                <w:color w:val="FFFFFF"/>
                <w:sz w:val="20"/>
                <w:szCs w:val="20"/>
              </w:rPr>
            </w:pPr>
            <w:r>
              <w:rPr>
                <w:rFonts w:ascii="Calibri" w:eastAsia="Calibri" w:hAnsi="Calibri" w:cs="Calibri"/>
                <w:b/>
                <w:color w:val="FFFFFF"/>
                <w:sz w:val="20"/>
                <w:szCs w:val="20"/>
              </w:rPr>
              <w:t>Author confirmation</w:t>
            </w:r>
          </w:p>
        </w:tc>
      </w:tr>
      <w:tr w:rsidR="0056525F" w14:paraId="5B23F792" w14:textId="77777777">
        <w:tc>
          <w:tcPr>
            <w:tcW w:w="12039" w:type="dxa"/>
            <w:shd w:val="clear" w:color="auto" w:fill="FFFFFF"/>
            <w:tcMar>
              <w:top w:w="100" w:type="dxa"/>
              <w:left w:w="100" w:type="dxa"/>
              <w:bottom w:w="100" w:type="dxa"/>
              <w:right w:w="100" w:type="dxa"/>
            </w:tcMar>
          </w:tcPr>
          <w:p w14:paraId="08868EE1"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All statements or interpretations of your results are supported by appropriate, fully reported statistics. Please refer to our specific guidance below.</w:t>
            </w:r>
          </w:p>
        </w:tc>
        <w:tc>
          <w:tcPr>
            <w:tcW w:w="1418" w:type="dxa"/>
            <w:shd w:val="clear" w:color="auto" w:fill="FFFFFF"/>
            <w:tcMar>
              <w:top w:w="100" w:type="dxa"/>
              <w:left w:w="100" w:type="dxa"/>
              <w:bottom w:w="100" w:type="dxa"/>
              <w:right w:w="100" w:type="dxa"/>
            </w:tcMar>
          </w:tcPr>
          <w:p w14:paraId="2D240D6E" w14:textId="25515A0A" w:rsidR="0056525F" w:rsidRDefault="001B6C1C">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291D2FCB" w14:textId="77777777">
        <w:tc>
          <w:tcPr>
            <w:tcW w:w="12039" w:type="dxa"/>
            <w:shd w:val="clear" w:color="auto" w:fill="FFFFFF"/>
            <w:tcMar>
              <w:top w:w="100" w:type="dxa"/>
              <w:left w:w="100" w:type="dxa"/>
              <w:bottom w:w="100" w:type="dxa"/>
              <w:right w:w="100" w:type="dxa"/>
            </w:tcMar>
          </w:tcPr>
          <w:p w14:paraId="0DDD883D"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lastRenderedPageBreak/>
              <w:t xml:space="preserve">Statistics must be reported in full wherever they appear. All references to frequentist inferential statistics must be reported as statistic(degrees of freedom) = value, p = value, effect size statistic = value, % Confidence Intervals = values. </w:t>
            </w:r>
          </w:p>
          <w:p w14:paraId="06C04ABB"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p-values must be reported exact, unless p&lt;0.001.</w:t>
            </w:r>
          </w:p>
          <w:p w14:paraId="19FF8EC0"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Don’t summarize statistical tests (e.g., all ps&lt;0.0001). List tests separately.</w:t>
            </w:r>
          </w:p>
        </w:tc>
        <w:tc>
          <w:tcPr>
            <w:tcW w:w="1418" w:type="dxa"/>
            <w:shd w:val="clear" w:color="auto" w:fill="FFFFFF"/>
            <w:tcMar>
              <w:top w:w="100" w:type="dxa"/>
              <w:left w:w="100" w:type="dxa"/>
              <w:bottom w:w="100" w:type="dxa"/>
              <w:right w:w="100" w:type="dxa"/>
            </w:tcMar>
          </w:tcPr>
          <w:p w14:paraId="7C1412AB"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w:t>
            </w:r>
          </w:p>
        </w:tc>
      </w:tr>
      <w:tr w:rsidR="0056525F" w14:paraId="56FB95E8" w14:textId="77777777">
        <w:tc>
          <w:tcPr>
            <w:tcW w:w="12039" w:type="dxa"/>
            <w:shd w:val="clear" w:color="auto" w:fill="FFFFFF"/>
            <w:tcMar>
              <w:top w:w="100" w:type="dxa"/>
              <w:left w:w="100" w:type="dxa"/>
              <w:bottom w:w="100" w:type="dxa"/>
              <w:right w:w="100" w:type="dxa"/>
            </w:tcMar>
          </w:tcPr>
          <w:p w14:paraId="5FBF5A62" w14:textId="77777777" w:rsidR="0056525F" w:rsidRDefault="00000000">
            <w:pPr>
              <w:rPr>
                <w:rFonts w:ascii="Calibri" w:eastAsia="Calibri" w:hAnsi="Calibri" w:cs="Calibri"/>
                <w:sz w:val="20"/>
                <w:szCs w:val="20"/>
              </w:rPr>
            </w:pPr>
            <w:r>
              <w:rPr>
                <w:rFonts w:ascii="Calibri" w:eastAsia="Calibri" w:hAnsi="Calibri" w:cs="Calibri"/>
                <w:sz w:val="20"/>
                <w:szCs w:val="20"/>
              </w:rPr>
              <w:t>Null effects obtained through NHST must be appropriately reported and cannot be interpreted at all, except if appropriate statistical tests have been employed that allow for meaningful interpretation of the null results.</w:t>
            </w:r>
          </w:p>
          <w:p w14:paraId="4AFB410F" w14:textId="77777777" w:rsidR="0056525F" w:rsidRDefault="0056525F">
            <w:pPr>
              <w:rPr>
                <w:rFonts w:ascii="Calibri" w:eastAsia="Calibri" w:hAnsi="Calibri" w:cs="Calibri"/>
                <w:sz w:val="20"/>
                <w:szCs w:val="20"/>
              </w:rPr>
            </w:pPr>
          </w:p>
          <w:p w14:paraId="23FBC606" w14:textId="77777777" w:rsidR="0056525F" w:rsidRDefault="00000000">
            <w:pPr>
              <w:rPr>
                <w:rFonts w:ascii="Calibri" w:eastAsia="Calibri" w:hAnsi="Calibri" w:cs="Calibri"/>
                <w:i/>
                <w:sz w:val="20"/>
                <w:szCs w:val="20"/>
              </w:rPr>
            </w:pPr>
            <w:r>
              <w:rPr>
                <w:rFonts w:ascii="Calibri" w:eastAsia="Calibri" w:hAnsi="Calibri" w:cs="Calibri"/>
                <w:i/>
                <w:sz w:val="20"/>
                <w:szCs w:val="20"/>
              </w:rPr>
              <w:t xml:space="preserve">NOTE: When reporting null results, you cannot say ‘there was no difference…’ or ‘there was no effect…’; instead, you must say ‘there was no statistically significant difference…’ or ‘there was no statistically significant effect…’. Unless, you have used appropriate statistics (e.g., equivalence tests, Bayes factors, etc), you cannot say anything further about null results and you must refrain from any interpretation. For example, it is inappropriate to say ‘There was no statistically significant difference between x and y (p=.342), </w:t>
            </w:r>
            <w:r>
              <w:rPr>
                <w:rFonts w:ascii="Calibri" w:eastAsia="Calibri" w:hAnsi="Calibri" w:cs="Calibri"/>
                <w:i/>
                <w:color w:val="FF0000"/>
                <w:sz w:val="20"/>
                <w:szCs w:val="20"/>
              </w:rPr>
              <w:t>which suggests that…’</w:t>
            </w:r>
            <w:r>
              <w:rPr>
                <w:rFonts w:ascii="Calibri" w:eastAsia="Calibri" w:hAnsi="Calibri" w:cs="Calibri"/>
                <w:i/>
                <w:sz w:val="20"/>
                <w:szCs w:val="20"/>
              </w:rPr>
              <w:t xml:space="preserve"> – a null result in NHST does not suggest anything, except failure to reject the null hypothesis.</w:t>
            </w:r>
          </w:p>
          <w:p w14:paraId="0CE8AB66" w14:textId="77777777" w:rsidR="0056525F" w:rsidRDefault="0056525F"/>
          <w:p w14:paraId="55042C04" w14:textId="77777777" w:rsidR="0056525F" w:rsidRDefault="00000000">
            <w:pPr>
              <w:rPr>
                <w:rFonts w:ascii="Calibri" w:eastAsia="Calibri" w:hAnsi="Calibri" w:cs="Calibri"/>
                <w:sz w:val="20"/>
                <w:szCs w:val="20"/>
              </w:rPr>
            </w:pPr>
            <w:r>
              <w:rPr>
                <w:rFonts w:ascii="Calibri" w:eastAsia="Calibri" w:hAnsi="Calibri" w:cs="Calibri"/>
                <w:sz w:val="20"/>
                <w:szCs w:val="20"/>
              </w:rPr>
              <w:t>This extends to comparisons of relationships between variables – for example, interpretations pertaining to difference of differences are also supported by appropriate statistics</w:t>
            </w:r>
            <w:r>
              <w:rPr>
                <w:rFonts w:ascii="Calibri" w:eastAsia="Calibri" w:hAnsi="Calibri" w:cs="Calibri"/>
                <w:sz w:val="20"/>
                <w:szCs w:val="20"/>
                <w:vertAlign w:val="superscript"/>
              </w:rPr>
              <w:t>1</w:t>
            </w:r>
            <w:r>
              <w:rPr>
                <w:rFonts w:ascii="Calibri" w:eastAsia="Calibri" w:hAnsi="Calibri" w:cs="Calibri"/>
                <w:sz w:val="20"/>
                <w:szCs w:val="20"/>
              </w:rPr>
              <w:t xml:space="preserve">. </w:t>
            </w:r>
          </w:p>
          <w:p w14:paraId="1C1965A1" w14:textId="77777777" w:rsidR="0056525F" w:rsidRDefault="0056525F">
            <w:pPr>
              <w:rPr>
                <w:rFonts w:ascii="Calibri" w:eastAsia="Calibri" w:hAnsi="Calibri" w:cs="Calibri"/>
                <w:sz w:val="20"/>
                <w:szCs w:val="20"/>
              </w:rPr>
            </w:pPr>
          </w:p>
          <w:p w14:paraId="155C929B"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sz w:val="20"/>
                <w:szCs w:val="20"/>
                <w:vertAlign w:val="superscript"/>
              </w:rPr>
              <w:t>1</w:t>
            </w:r>
            <w:r>
              <w:rPr>
                <w:rFonts w:ascii="Calibri" w:eastAsia="Calibri" w:hAnsi="Calibri" w:cs="Calibri"/>
                <w:sz w:val="20"/>
                <w:szCs w:val="20"/>
              </w:rPr>
              <w:t xml:space="preserve">Gelman, A. &amp; Stern, H. </w:t>
            </w:r>
            <w:hyperlink r:id="rId9">
              <w:r>
                <w:rPr>
                  <w:rFonts w:ascii="Calibri" w:eastAsia="Calibri" w:hAnsi="Calibri" w:cs="Calibri"/>
                  <w:color w:val="0000FF"/>
                  <w:sz w:val="20"/>
                  <w:szCs w:val="20"/>
                  <w:u w:val="single"/>
                </w:rPr>
                <w:t>The difference between “significant” and “not significant” is not itself statistically significant</w:t>
              </w:r>
            </w:hyperlink>
            <w:r>
              <w:rPr>
                <w:rFonts w:ascii="Calibri" w:eastAsia="Calibri" w:hAnsi="Calibri" w:cs="Calibri"/>
                <w:sz w:val="20"/>
                <w:szCs w:val="20"/>
              </w:rPr>
              <w:t>. Am. Stat. 60, 328–331 (2006).</w:t>
            </w:r>
          </w:p>
        </w:tc>
        <w:tc>
          <w:tcPr>
            <w:tcW w:w="1418" w:type="dxa"/>
            <w:shd w:val="clear" w:color="auto" w:fill="FFFFFF"/>
            <w:tcMar>
              <w:top w:w="100" w:type="dxa"/>
              <w:left w:w="100" w:type="dxa"/>
              <w:bottom w:w="100" w:type="dxa"/>
              <w:right w:w="100" w:type="dxa"/>
            </w:tcMar>
          </w:tcPr>
          <w:p w14:paraId="1B70F1DE" w14:textId="113C2562" w:rsidR="0056525F" w:rsidRDefault="001B6C1C">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253E02A6" w14:textId="77777777">
        <w:tc>
          <w:tcPr>
            <w:tcW w:w="12039" w:type="dxa"/>
            <w:shd w:val="clear" w:color="auto" w:fill="FFFFFF"/>
            <w:tcMar>
              <w:top w:w="100" w:type="dxa"/>
              <w:left w:w="100" w:type="dxa"/>
              <w:bottom w:w="100" w:type="dxa"/>
              <w:right w:w="100" w:type="dxa"/>
            </w:tcMar>
          </w:tcPr>
          <w:p w14:paraId="0CB2D155"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For manuscripts that interpret null results Bayes Factors or equivalence tests that support the null are reported.</w:t>
            </w:r>
          </w:p>
        </w:tc>
        <w:tc>
          <w:tcPr>
            <w:tcW w:w="1418" w:type="dxa"/>
            <w:shd w:val="clear" w:color="auto" w:fill="FFFFFF"/>
            <w:tcMar>
              <w:top w:w="100" w:type="dxa"/>
              <w:left w:w="100" w:type="dxa"/>
              <w:bottom w:w="100" w:type="dxa"/>
              <w:right w:w="100" w:type="dxa"/>
            </w:tcMar>
          </w:tcPr>
          <w:p w14:paraId="43155A82" w14:textId="127D8F91" w:rsidR="0056525F" w:rsidRDefault="001B6C1C">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62552AF8" w14:textId="77777777">
        <w:tc>
          <w:tcPr>
            <w:tcW w:w="12039" w:type="dxa"/>
            <w:shd w:val="clear" w:color="auto" w:fill="FFFFFF"/>
            <w:tcMar>
              <w:top w:w="100" w:type="dxa"/>
              <w:left w:w="100" w:type="dxa"/>
              <w:bottom w:w="100" w:type="dxa"/>
              <w:right w:w="100" w:type="dxa"/>
            </w:tcMar>
          </w:tcPr>
          <w:p w14:paraId="56F8507A"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For manuscripts that interpret null results, the manuscript reports evidence that the study is sufficiently powered to detect the smallest theoretically or pragmatically meaningful effect.</w:t>
            </w:r>
          </w:p>
        </w:tc>
        <w:tc>
          <w:tcPr>
            <w:tcW w:w="1418" w:type="dxa"/>
            <w:shd w:val="clear" w:color="auto" w:fill="FFFFFF"/>
            <w:tcMar>
              <w:top w:w="100" w:type="dxa"/>
              <w:left w:w="100" w:type="dxa"/>
              <w:bottom w:w="100" w:type="dxa"/>
              <w:right w:w="100" w:type="dxa"/>
            </w:tcMar>
          </w:tcPr>
          <w:p w14:paraId="0F343EAD" w14:textId="7ABD8A96" w:rsidR="0056525F" w:rsidRDefault="001B6C1C">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0EAC3FDF" w14:textId="77777777">
        <w:tc>
          <w:tcPr>
            <w:tcW w:w="12039" w:type="dxa"/>
            <w:shd w:val="clear" w:color="auto" w:fill="FFFFFF"/>
            <w:tcMar>
              <w:top w:w="100" w:type="dxa"/>
              <w:left w:w="100" w:type="dxa"/>
              <w:bottom w:w="100" w:type="dxa"/>
              <w:right w:w="100" w:type="dxa"/>
            </w:tcMar>
          </w:tcPr>
          <w:p w14:paraId="785E47CE"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For Bayesian analyses the manuscript: a) lists specified priors and how they were selected; b) describes the statistical model and the techniques used in the analyses; c) summarizes the posterior distribution with a measure of central tendency and a credibility interval; d) assess the sensitivity of the analyses to different priors.</w:t>
            </w:r>
          </w:p>
        </w:tc>
        <w:tc>
          <w:tcPr>
            <w:tcW w:w="1418" w:type="dxa"/>
            <w:shd w:val="clear" w:color="auto" w:fill="FFFFFF"/>
            <w:tcMar>
              <w:top w:w="100" w:type="dxa"/>
              <w:left w:w="100" w:type="dxa"/>
              <w:bottom w:w="100" w:type="dxa"/>
              <w:right w:w="100" w:type="dxa"/>
            </w:tcMar>
          </w:tcPr>
          <w:p w14:paraId="53F59043" w14:textId="7F75636C" w:rsidR="0056525F" w:rsidRDefault="001B6C1C">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54B91021" w14:textId="77777777">
        <w:tc>
          <w:tcPr>
            <w:tcW w:w="12039" w:type="dxa"/>
            <w:shd w:val="clear" w:color="auto" w:fill="4F7885"/>
            <w:tcMar>
              <w:top w:w="100" w:type="dxa"/>
              <w:left w:w="100" w:type="dxa"/>
              <w:bottom w:w="100" w:type="dxa"/>
              <w:right w:w="100" w:type="dxa"/>
            </w:tcMar>
          </w:tcPr>
          <w:p w14:paraId="011B0636" w14:textId="77777777" w:rsidR="0056525F" w:rsidRDefault="00000000">
            <w:pPr>
              <w:widowControl w:val="0"/>
              <w:pBdr>
                <w:top w:val="nil"/>
                <w:left w:val="nil"/>
                <w:bottom w:val="nil"/>
                <w:right w:val="nil"/>
                <w:between w:val="nil"/>
              </w:pBdr>
              <w:rPr>
                <w:rFonts w:ascii="Calibri" w:eastAsia="Calibri" w:hAnsi="Calibri" w:cs="Calibri"/>
                <w:b/>
                <w:color w:val="FFFFFF"/>
                <w:sz w:val="36"/>
                <w:szCs w:val="36"/>
              </w:rPr>
            </w:pPr>
            <w:r>
              <w:rPr>
                <w:rFonts w:ascii="Calibri" w:eastAsia="Calibri" w:hAnsi="Calibri" w:cs="Calibri"/>
                <w:b/>
                <w:color w:val="FFFFFF"/>
                <w:sz w:val="36"/>
                <w:szCs w:val="36"/>
              </w:rPr>
              <w:t>Data &amp; Code Sharing</w:t>
            </w:r>
          </w:p>
        </w:tc>
        <w:tc>
          <w:tcPr>
            <w:tcW w:w="1418" w:type="dxa"/>
            <w:shd w:val="clear" w:color="auto" w:fill="4F7885"/>
            <w:tcMar>
              <w:top w:w="100" w:type="dxa"/>
              <w:left w:w="100" w:type="dxa"/>
              <w:bottom w:w="100" w:type="dxa"/>
              <w:right w:w="100" w:type="dxa"/>
            </w:tcMar>
          </w:tcPr>
          <w:p w14:paraId="04CA01F0" w14:textId="77777777" w:rsidR="0056525F" w:rsidRDefault="00000000">
            <w:pPr>
              <w:widowControl w:val="0"/>
              <w:pBdr>
                <w:top w:val="nil"/>
                <w:left w:val="nil"/>
                <w:bottom w:val="nil"/>
                <w:right w:val="nil"/>
                <w:between w:val="nil"/>
              </w:pBdr>
              <w:rPr>
                <w:rFonts w:ascii="Calibri" w:eastAsia="Calibri" w:hAnsi="Calibri" w:cs="Calibri"/>
                <w:b/>
                <w:color w:val="FFFFFF"/>
                <w:sz w:val="20"/>
                <w:szCs w:val="20"/>
              </w:rPr>
            </w:pPr>
            <w:r>
              <w:rPr>
                <w:rFonts w:ascii="Calibri" w:eastAsia="Calibri" w:hAnsi="Calibri" w:cs="Calibri"/>
                <w:b/>
                <w:color w:val="FFFFFF"/>
                <w:sz w:val="20"/>
                <w:szCs w:val="20"/>
              </w:rPr>
              <w:t>Author confirmation</w:t>
            </w:r>
          </w:p>
        </w:tc>
      </w:tr>
      <w:tr w:rsidR="0056525F" w14:paraId="21A7266F" w14:textId="77777777">
        <w:tc>
          <w:tcPr>
            <w:tcW w:w="12039" w:type="dxa"/>
            <w:shd w:val="clear" w:color="auto" w:fill="FFFFFF"/>
            <w:tcMar>
              <w:top w:w="100" w:type="dxa"/>
              <w:left w:w="100" w:type="dxa"/>
              <w:bottom w:w="100" w:type="dxa"/>
              <w:right w:w="100" w:type="dxa"/>
            </w:tcMar>
          </w:tcPr>
          <w:p w14:paraId="5AACB350"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lastRenderedPageBreak/>
              <w:t xml:space="preserve">The </w:t>
            </w:r>
            <w:r>
              <w:rPr>
                <w:rFonts w:ascii="Calibri" w:eastAsia="Calibri" w:hAnsi="Calibri" w:cs="Calibri"/>
                <w:b/>
                <w:color w:val="000000"/>
                <w:sz w:val="20"/>
                <w:szCs w:val="20"/>
              </w:rPr>
              <w:t>Data Availability statement</w:t>
            </w:r>
            <w:r>
              <w:rPr>
                <w:rFonts w:ascii="Calibri" w:eastAsia="Calibri" w:hAnsi="Calibri" w:cs="Calibri"/>
                <w:color w:val="000000"/>
                <w:sz w:val="20"/>
                <w:szCs w:val="20"/>
              </w:rPr>
              <w:t xml:space="preserve"> includes:</w:t>
            </w:r>
          </w:p>
          <w:p w14:paraId="2E67DF2D"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Information on all data types used in the study and how they can be accessed.</w:t>
            </w:r>
          </w:p>
          <w:p w14:paraId="61E99664" w14:textId="77777777" w:rsidR="0056525F" w:rsidRDefault="0056525F">
            <w:pPr>
              <w:widowControl w:val="0"/>
              <w:pBdr>
                <w:top w:val="nil"/>
                <w:left w:val="nil"/>
                <w:bottom w:val="nil"/>
                <w:right w:val="nil"/>
                <w:between w:val="nil"/>
              </w:pBdr>
              <w:rPr>
                <w:rFonts w:ascii="Calibri" w:eastAsia="Calibri" w:hAnsi="Calibri" w:cs="Calibri"/>
                <w:color w:val="000000"/>
                <w:sz w:val="20"/>
                <w:szCs w:val="20"/>
              </w:rPr>
            </w:pPr>
          </w:p>
          <w:p w14:paraId="593B5A63"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Accession codes (DOIs/links) for deposited data (public deposition is mandatory for numerical data underlying plots or charts in the manuscript and encouraged for other data).</w:t>
            </w:r>
          </w:p>
          <w:p w14:paraId="55075C8F" w14:textId="77777777" w:rsidR="0056525F" w:rsidRDefault="0056525F">
            <w:pPr>
              <w:widowControl w:val="0"/>
              <w:pBdr>
                <w:top w:val="nil"/>
                <w:left w:val="nil"/>
                <w:bottom w:val="nil"/>
                <w:right w:val="nil"/>
                <w:between w:val="nil"/>
              </w:pBdr>
              <w:rPr>
                <w:rFonts w:ascii="Calibri" w:eastAsia="Calibri" w:hAnsi="Calibri" w:cs="Calibri"/>
                <w:color w:val="000000"/>
                <w:sz w:val="20"/>
                <w:szCs w:val="20"/>
              </w:rPr>
            </w:pPr>
          </w:p>
          <w:p w14:paraId="1676B690"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If applicable, a statement explaining any restrictions on data access. See also https://www.springernature.com/gp/authors/research-data-policy</w:t>
            </w:r>
          </w:p>
        </w:tc>
        <w:tc>
          <w:tcPr>
            <w:tcW w:w="1418" w:type="dxa"/>
            <w:shd w:val="clear" w:color="auto" w:fill="FFFFFF"/>
            <w:tcMar>
              <w:top w:w="100" w:type="dxa"/>
              <w:left w:w="100" w:type="dxa"/>
              <w:bottom w:w="100" w:type="dxa"/>
              <w:right w:w="100" w:type="dxa"/>
            </w:tcMar>
          </w:tcPr>
          <w:p w14:paraId="63467945" w14:textId="6612AFEA" w:rsidR="0056525F" w:rsidRDefault="001B6C1C">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2151E707" w14:textId="77777777">
        <w:tc>
          <w:tcPr>
            <w:tcW w:w="12039" w:type="dxa"/>
            <w:shd w:val="clear" w:color="auto" w:fill="FFFFFF"/>
            <w:tcMar>
              <w:top w:w="100" w:type="dxa"/>
              <w:left w:w="100" w:type="dxa"/>
              <w:bottom w:w="100" w:type="dxa"/>
              <w:right w:w="100" w:type="dxa"/>
            </w:tcMar>
          </w:tcPr>
          <w:p w14:paraId="247A260D"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Code availability</w:t>
            </w:r>
          </w:p>
          <w:p w14:paraId="7D127D43"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Separate from the Data Availability statement, please include a </w:t>
            </w:r>
            <w:r>
              <w:rPr>
                <w:rFonts w:ascii="Calibri" w:eastAsia="Calibri" w:hAnsi="Calibri" w:cs="Calibri"/>
                <w:b/>
                <w:color w:val="000000"/>
                <w:sz w:val="20"/>
                <w:szCs w:val="20"/>
              </w:rPr>
              <w:t>Code Availability statement</w:t>
            </w:r>
            <w:r>
              <w:rPr>
                <w:rFonts w:ascii="Calibri" w:eastAsia="Calibri" w:hAnsi="Calibri" w:cs="Calibri"/>
                <w:color w:val="000000"/>
                <w:sz w:val="20"/>
                <w:szCs w:val="20"/>
              </w:rPr>
              <w:t>, indicating how any custom code for this paper can be accessed before the References section; any restrictions to access must be discussed with the editor first and may only subsequently be included in the statement. This pertains to analysis code, simulations, and also to the code used to run the experiment, where applicable. This section should also include information on the versions of any software used, if relevant, and any specific variables or parameters used to generate, test, or process the current dataset.</w:t>
            </w:r>
          </w:p>
          <w:p w14:paraId="495C6A8D" w14:textId="77777777" w:rsidR="0056525F" w:rsidRDefault="0056525F">
            <w:pPr>
              <w:widowControl w:val="0"/>
              <w:pBdr>
                <w:top w:val="nil"/>
                <w:left w:val="nil"/>
                <w:bottom w:val="nil"/>
                <w:right w:val="nil"/>
                <w:between w:val="nil"/>
              </w:pBdr>
              <w:rPr>
                <w:rFonts w:ascii="Calibri" w:eastAsia="Calibri" w:hAnsi="Calibri" w:cs="Calibri"/>
                <w:color w:val="000000"/>
                <w:sz w:val="20"/>
                <w:szCs w:val="20"/>
              </w:rPr>
            </w:pPr>
          </w:p>
          <w:p w14:paraId="79707CC2"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Please see our policy on code availability for more information. https://www.nature.com/commspsychol/submit/submission-guidelines#code-availability</w:t>
            </w:r>
          </w:p>
        </w:tc>
        <w:tc>
          <w:tcPr>
            <w:tcW w:w="1418" w:type="dxa"/>
            <w:shd w:val="clear" w:color="auto" w:fill="FFFFFF"/>
            <w:tcMar>
              <w:top w:w="100" w:type="dxa"/>
              <w:left w:w="100" w:type="dxa"/>
              <w:bottom w:w="100" w:type="dxa"/>
              <w:right w:w="100" w:type="dxa"/>
            </w:tcMar>
          </w:tcPr>
          <w:p w14:paraId="6B6F2100" w14:textId="1D20B21D" w:rsidR="0056525F" w:rsidRDefault="001B6C1C">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4A7D7B7D" w14:textId="77777777">
        <w:tc>
          <w:tcPr>
            <w:tcW w:w="12039" w:type="dxa"/>
            <w:shd w:val="clear" w:color="auto" w:fill="FFFFFF"/>
            <w:tcMar>
              <w:top w:w="100" w:type="dxa"/>
              <w:left w:w="100" w:type="dxa"/>
              <w:bottom w:w="100" w:type="dxa"/>
              <w:right w:w="100" w:type="dxa"/>
            </w:tcMar>
          </w:tcPr>
          <w:p w14:paraId="5E18ABEB"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There must be a competing interests statement that accounts for both financial and non-financial interests, and that the statement does not solely refer to financial interests. See our competing interests policy for further information: https://www.nature.com/nature-research/editorial-policies/competing-interests </w:t>
            </w:r>
          </w:p>
        </w:tc>
        <w:tc>
          <w:tcPr>
            <w:tcW w:w="1418" w:type="dxa"/>
            <w:shd w:val="clear" w:color="auto" w:fill="FFFFFF"/>
            <w:tcMar>
              <w:top w:w="100" w:type="dxa"/>
              <w:left w:w="100" w:type="dxa"/>
              <w:bottom w:w="100" w:type="dxa"/>
              <w:right w:w="100" w:type="dxa"/>
            </w:tcMar>
          </w:tcPr>
          <w:p w14:paraId="73882EEF" w14:textId="34AFAD47" w:rsidR="0056525F" w:rsidRDefault="001B6C1C">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6D418166" w14:textId="77777777">
        <w:tc>
          <w:tcPr>
            <w:tcW w:w="12039" w:type="dxa"/>
            <w:shd w:val="clear" w:color="auto" w:fill="4F7885"/>
            <w:tcMar>
              <w:top w:w="100" w:type="dxa"/>
              <w:left w:w="100" w:type="dxa"/>
              <w:bottom w:w="100" w:type="dxa"/>
              <w:right w:w="100" w:type="dxa"/>
            </w:tcMar>
          </w:tcPr>
          <w:p w14:paraId="4AF73D35" w14:textId="77777777" w:rsidR="0056525F" w:rsidRDefault="00000000">
            <w:pPr>
              <w:widowControl w:val="0"/>
              <w:pBdr>
                <w:top w:val="nil"/>
                <w:left w:val="nil"/>
                <w:bottom w:val="nil"/>
                <w:right w:val="nil"/>
                <w:between w:val="nil"/>
              </w:pBdr>
              <w:rPr>
                <w:rFonts w:ascii="Calibri" w:eastAsia="Calibri" w:hAnsi="Calibri" w:cs="Calibri"/>
                <w:b/>
                <w:color w:val="FFFFFF"/>
                <w:sz w:val="36"/>
                <w:szCs w:val="36"/>
              </w:rPr>
            </w:pPr>
            <w:r>
              <w:rPr>
                <w:rFonts w:ascii="Calibri" w:eastAsia="Calibri" w:hAnsi="Calibri" w:cs="Calibri"/>
                <w:b/>
                <w:color w:val="FFFFFF"/>
                <w:sz w:val="36"/>
                <w:szCs w:val="36"/>
              </w:rPr>
              <w:t>Display items</w:t>
            </w:r>
          </w:p>
        </w:tc>
        <w:tc>
          <w:tcPr>
            <w:tcW w:w="1418" w:type="dxa"/>
            <w:shd w:val="clear" w:color="auto" w:fill="4F7885"/>
            <w:tcMar>
              <w:top w:w="100" w:type="dxa"/>
              <w:left w:w="100" w:type="dxa"/>
              <w:bottom w:w="100" w:type="dxa"/>
              <w:right w:w="100" w:type="dxa"/>
            </w:tcMar>
          </w:tcPr>
          <w:p w14:paraId="09F3E915" w14:textId="77777777" w:rsidR="0056525F" w:rsidRDefault="00000000">
            <w:pPr>
              <w:widowControl w:val="0"/>
              <w:pBdr>
                <w:top w:val="nil"/>
                <w:left w:val="nil"/>
                <w:bottom w:val="nil"/>
                <w:right w:val="nil"/>
                <w:between w:val="nil"/>
              </w:pBdr>
              <w:rPr>
                <w:rFonts w:ascii="Calibri" w:eastAsia="Calibri" w:hAnsi="Calibri" w:cs="Calibri"/>
                <w:b/>
                <w:color w:val="FFFFFF"/>
                <w:sz w:val="20"/>
                <w:szCs w:val="20"/>
              </w:rPr>
            </w:pPr>
            <w:r>
              <w:rPr>
                <w:rFonts w:ascii="Calibri" w:eastAsia="Calibri" w:hAnsi="Calibri" w:cs="Calibri"/>
                <w:b/>
                <w:color w:val="FFFFFF"/>
                <w:sz w:val="20"/>
                <w:szCs w:val="20"/>
              </w:rPr>
              <w:t>Author confirmation</w:t>
            </w:r>
          </w:p>
        </w:tc>
      </w:tr>
      <w:tr w:rsidR="0056525F" w14:paraId="685E52CA" w14:textId="77777777">
        <w:tc>
          <w:tcPr>
            <w:tcW w:w="12039" w:type="dxa"/>
            <w:shd w:val="clear" w:color="auto" w:fill="FFFFFF"/>
            <w:tcMar>
              <w:top w:w="100" w:type="dxa"/>
              <w:left w:w="100" w:type="dxa"/>
              <w:bottom w:w="100" w:type="dxa"/>
              <w:right w:w="100" w:type="dxa"/>
            </w:tcMar>
          </w:tcPr>
          <w:p w14:paraId="050E1DCB"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Graph axes must originate at 0, cut through 0, or in exceptional cases, include a discontinuity marker.</w:t>
            </w:r>
          </w:p>
        </w:tc>
        <w:tc>
          <w:tcPr>
            <w:tcW w:w="1418" w:type="dxa"/>
            <w:shd w:val="clear" w:color="auto" w:fill="FFFFFF"/>
            <w:tcMar>
              <w:top w:w="100" w:type="dxa"/>
              <w:left w:w="100" w:type="dxa"/>
              <w:bottom w:w="100" w:type="dxa"/>
              <w:right w:w="100" w:type="dxa"/>
            </w:tcMar>
          </w:tcPr>
          <w:p w14:paraId="0999B26A" w14:textId="0ECA25BB" w:rsidR="0056525F" w:rsidRDefault="001B6C1C">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4A87FE6B" w14:textId="77777777">
        <w:tc>
          <w:tcPr>
            <w:tcW w:w="12039" w:type="dxa"/>
            <w:shd w:val="clear" w:color="auto" w:fill="FFFFFF"/>
            <w:tcMar>
              <w:top w:w="100" w:type="dxa"/>
              <w:left w:w="100" w:type="dxa"/>
              <w:bottom w:w="100" w:type="dxa"/>
              <w:right w:w="100" w:type="dxa"/>
            </w:tcMar>
          </w:tcPr>
          <w:p w14:paraId="059AF7C3"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All Figure panels that plot the same measure should be plotted to the same scale unless this obfuscates the data(identical y-axes).</w:t>
            </w:r>
          </w:p>
        </w:tc>
        <w:tc>
          <w:tcPr>
            <w:tcW w:w="1418" w:type="dxa"/>
            <w:shd w:val="clear" w:color="auto" w:fill="FFFFFF"/>
            <w:tcMar>
              <w:top w:w="100" w:type="dxa"/>
              <w:left w:w="100" w:type="dxa"/>
              <w:bottom w:w="100" w:type="dxa"/>
              <w:right w:w="100" w:type="dxa"/>
            </w:tcMar>
          </w:tcPr>
          <w:p w14:paraId="251FA84B" w14:textId="7A8822C0" w:rsidR="0056525F" w:rsidRDefault="001B6C1C">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2C486EA0" w14:textId="77777777">
        <w:tc>
          <w:tcPr>
            <w:tcW w:w="12039" w:type="dxa"/>
            <w:shd w:val="clear" w:color="auto" w:fill="FFFFFF"/>
            <w:tcMar>
              <w:top w:w="100" w:type="dxa"/>
              <w:left w:w="100" w:type="dxa"/>
              <w:bottom w:w="100" w:type="dxa"/>
              <w:right w:w="100" w:type="dxa"/>
            </w:tcMar>
          </w:tcPr>
          <w:p w14:paraId="5E38190C"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Bar graphs should not be used to display measures of central tendency, unless overlayed with single-participant data. Choose graph types showing features of the distribution, e.g. box plots or violin plots rather than bar graphs.</w:t>
            </w:r>
          </w:p>
        </w:tc>
        <w:tc>
          <w:tcPr>
            <w:tcW w:w="1418" w:type="dxa"/>
            <w:shd w:val="clear" w:color="auto" w:fill="FFFFFF"/>
            <w:tcMar>
              <w:top w:w="100" w:type="dxa"/>
              <w:left w:w="100" w:type="dxa"/>
              <w:bottom w:w="100" w:type="dxa"/>
              <w:right w:w="100" w:type="dxa"/>
            </w:tcMar>
          </w:tcPr>
          <w:p w14:paraId="2925DAD2" w14:textId="41679C13" w:rsidR="0056525F" w:rsidRDefault="001B6C1C">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1B76AE34" w14:textId="77777777">
        <w:tc>
          <w:tcPr>
            <w:tcW w:w="12039" w:type="dxa"/>
            <w:shd w:val="clear" w:color="auto" w:fill="FFFFFF"/>
            <w:tcMar>
              <w:top w:w="100" w:type="dxa"/>
              <w:left w:w="100" w:type="dxa"/>
              <w:bottom w:w="100" w:type="dxa"/>
              <w:right w:w="100" w:type="dxa"/>
            </w:tcMar>
          </w:tcPr>
          <w:p w14:paraId="71C8BCC6"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lastRenderedPageBreak/>
              <w:t>Please include error bars (or equivalent) and define any error bars, shading, box plots etc in each Figure and Supplementary Figure where they are used.</w:t>
            </w:r>
          </w:p>
        </w:tc>
        <w:tc>
          <w:tcPr>
            <w:tcW w:w="1418" w:type="dxa"/>
            <w:shd w:val="clear" w:color="auto" w:fill="FFFFFF"/>
            <w:tcMar>
              <w:top w:w="100" w:type="dxa"/>
              <w:left w:w="100" w:type="dxa"/>
              <w:bottom w:w="100" w:type="dxa"/>
              <w:right w:w="100" w:type="dxa"/>
            </w:tcMar>
          </w:tcPr>
          <w:p w14:paraId="3CFEF12A" w14:textId="034F73DC" w:rsidR="0056525F" w:rsidRDefault="001B6C1C">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r w:rsidR="0056525F" w14:paraId="26419B04" w14:textId="77777777">
        <w:tc>
          <w:tcPr>
            <w:tcW w:w="12039" w:type="dxa"/>
            <w:shd w:val="clear" w:color="auto" w:fill="FFFFFF"/>
            <w:tcMar>
              <w:top w:w="100" w:type="dxa"/>
              <w:left w:w="100" w:type="dxa"/>
              <w:bottom w:w="100" w:type="dxa"/>
              <w:right w:w="100" w:type="dxa"/>
            </w:tcMar>
          </w:tcPr>
          <w:p w14:paraId="3305C17B"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Microscopy images and photographs in each Figure and Supplementary Figure must be accompanied by scale bars, and these must be defined. Please add scale bars and corresponding definitions to Specify figure(s).</w:t>
            </w:r>
          </w:p>
          <w:p w14:paraId="7EDC552F" w14:textId="77777777" w:rsidR="0056525F" w:rsidRDefault="0056525F">
            <w:pPr>
              <w:widowControl w:val="0"/>
              <w:pBdr>
                <w:top w:val="nil"/>
                <w:left w:val="nil"/>
                <w:bottom w:val="nil"/>
                <w:right w:val="nil"/>
                <w:between w:val="nil"/>
              </w:pBdr>
              <w:rPr>
                <w:rFonts w:ascii="Calibri" w:eastAsia="Calibri" w:hAnsi="Calibri" w:cs="Calibri"/>
                <w:color w:val="000000"/>
                <w:sz w:val="20"/>
                <w:szCs w:val="20"/>
              </w:rPr>
            </w:pPr>
          </w:p>
          <w:p w14:paraId="65BCF38B"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Please pay close attention to our Digital Image Integrity Guidelines. </w:t>
            </w:r>
          </w:p>
        </w:tc>
        <w:tc>
          <w:tcPr>
            <w:tcW w:w="1418" w:type="dxa"/>
            <w:shd w:val="clear" w:color="auto" w:fill="FFFFFF"/>
            <w:tcMar>
              <w:top w:w="100" w:type="dxa"/>
              <w:left w:w="100" w:type="dxa"/>
              <w:bottom w:w="100" w:type="dxa"/>
              <w:right w:w="100" w:type="dxa"/>
            </w:tcMar>
          </w:tcPr>
          <w:p w14:paraId="1CD804EC" w14:textId="5FB0F356" w:rsidR="0056525F" w:rsidRDefault="001B6C1C">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N/A</w:t>
            </w:r>
          </w:p>
        </w:tc>
      </w:tr>
      <w:tr w:rsidR="0056525F" w14:paraId="72C9FDC5" w14:textId="77777777">
        <w:tc>
          <w:tcPr>
            <w:tcW w:w="12039" w:type="dxa"/>
            <w:shd w:val="clear" w:color="auto" w:fill="FFFFFF"/>
            <w:tcMar>
              <w:top w:w="100" w:type="dxa"/>
              <w:left w:w="100" w:type="dxa"/>
              <w:bottom w:w="100" w:type="dxa"/>
              <w:right w:w="100" w:type="dxa"/>
            </w:tcMar>
          </w:tcPr>
          <w:p w14:paraId="3DE4B4A8"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Publication of identifiable images of humans in Nature Portfolio journals must be accompanied by a statement attesting that the authors have obtained consent to publication of the images. Images without appropriate consent must be removed.</w:t>
            </w:r>
          </w:p>
          <w:p w14:paraId="09F36075" w14:textId="77777777" w:rsidR="0056525F" w:rsidRDefault="0056525F">
            <w:pPr>
              <w:widowControl w:val="0"/>
              <w:pBdr>
                <w:top w:val="nil"/>
                <w:left w:val="nil"/>
                <w:bottom w:val="nil"/>
                <w:right w:val="nil"/>
                <w:between w:val="nil"/>
              </w:pBdr>
              <w:rPr>
                <w:rFonts w:ascii="Calibri" w:eastAsia="Calibri" w:hAnsi="Calibri" w:cs="Calibri"/>
                <w:color w:val="000000"/>
                <w:sz w:val="20"/>
                <w:szCs w:val="20"/>
              </w:rPr>
            </w:pPr>
          </w:p>
          <w:p w14:paraId="58C830A9"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To obtain consent, you may use the Nature Portfolio form (http://www.nature.com/documents/snl-model-release.docx) or your own consent form, provided the consent meets the conditions set out in the Nature Research consent form.</w:t>
            </w:r>
          </w:p>
        </w:tc>
        <w:tc>
          <w:tcPr>
            <w:tcW w:w="1418" w:type="dxa"/>
            <w:shd w:val="clear" w:color="auto" w:fill="FFFFFF"/>
            <w:tcMar>
              <w:top w:w="100" w:type="dxa"/>
              <w:left w:w="100" w:type="dxa"/>
              <w:bottom w:w="100" w:type="dxa"/>
              <w:right w:w="100" w:type="dxa"/>
            </w:tcMar>
          </w:tcPr>
          <w:p w14:paraId="12FF9A2A" w14:textId="05550B05" w:rsidR="0056525F" w:rsidRDefault="001B6C1C">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N/A</w:t>
            </w:r>
          </w:p>
        </w:tc>
      </w:tr>
      <w:tr w:rsidR="0056525F" w14:paraId="5104528D" w14:textId="77777777">
        <w:tc>
          <w:tcPr>
            <w:tcW w:w="12039" w:type="dxa"/>
            <w:shd w:val="clear" w:color="auto" w:fill="4F7885"/>
            <w:tcMar>
              <w:top w:w="100" w:type="dxa"/>
              <w:left w:w="100" w:type="dxa"/>
              <w:bottom w:w="100" w:type="dxa"/>
              <w:right w:w="100" w:type="dxa"/>
            </w:tcMar>
          </w:tcPr>
          <w:p w14:paraId="4A195777" w14:textId="77777777" w:rsidR="0056525F" w:rsidRDefault="00000000">
            <w:pPr>
              <w:widowControl w:val="0"/>
              <w:pBdr>
                <w:top w:val="nil"/>
                <w:left w:val="nil"/>
                <w:bottom w:val="nil"/>
                <w:right w:val="nil"/>
                <w:between w:val="nil"/>
              </w:pBdr>
              <w:rPr>
                <w:rFonts w:ascii="Calibri" w:eastAsia="Calibri" w:hAnsi="Calibri" w:cs="Calibri"/>
                <w:b/>
                <w:color w:val="FFFFFF"/>
                <w:sz w:val="36"/>
                <w:szCs w:val="36"/>
              </w:rPr>
            </w:pPr>
            <w:r>
              <w:rPr>
                <w:rFonts w:ascii="Calibri" w:eastAsia="Calibri" w:hAnsi="Calibri" w:cs="Calibri"/>
                <w:b/>
                <w:color w:val="FFFFFF"/>
                <w:sz w:val="36"/>
                <w:szCs w:val="36"/>
              </w:rPr>
              <w:t>Supplementary Information File</w:t>
            </w:r>
          </w:p>
        </w:tc>
        <w:tc>
          <w:tcPr>
            <w:tcW w:w="1418" w:type="dxa"/>
            <w:shd w:val="clear" w:color="auto" w:fill="4F7885"/>
            <w:tcMar>
              <w:top w:w="100" w:type="dxa"/>
              <w:left w:w="100" w:type="dxa"/>
              <w:bottom w:w="100" w:type="dxa"/>
              <w:right w:w="100" w:type="dxa"/>
            </w:tcMar>
          </w:tcPr>
          <w:p w14:paraId="493D5575" w14:textId="77777777" w:rsidR="0056525F" w:rsidRDefault="00000000">
            <w:pPr>
              <w:widowControl w:val="0"/>
              <w:pBdr>
                <w:top w:val="nil"/>
                <w:left w:val="nil"/>
                <w:bottom w:val="nil"/>
                <w:right w:val="nil"/>
                <w:between w:val="nil"/>
              </w:pBdr>
              <w:rPr>
                <w:rFonts w:ascii="Calibri" w:eastAsia="Calibri" w:hAnsi="Calibri" w:cs="Calibri"/>
                <w:b/>
                <w:color w:val="FFFFFF"/>
                <w:sz w:val="20"/>
                <w:szCs w:val="20"/>
              </w:rPr>
            </w:pPr>
            <w:r>
              <w:rPr>
                <w:rFonts w:ascii="Calibri" w:eastAsia="Calibri" w:hAnsi="Calibri" w:cs="Calibri"/>
                <w:b/>
                <w:color w:val="FFFFFF"/>
                <w:sz w:val="20"/>
                <w:szCs w:val="20"/>
              </w:rPr>
              <w:t>Author confirmation</w:t>
            </w:r>
          </w:p>
        </w:tc>
      </w:tr>
      <w:tr w:rsidR="0056525F" w14:paraId="14727974" w14:textId="77777777">
        <w:tc>
          <w:tcPr>
            <w:tcW w:w="12039" w:type="dxa"/>
            <w:shd w:val="clear" w:color="auto" w:fill="FFFFFF"/>
            <w:tcMar>
              <w:top w:w="100" w:type="dxa"/>
              <w:left w:w="100" w:type="dxa"/>
              <w:bottom w:w="100" w:type="dxa"/>
              <w:right w:w="100" w:type="dxa"/>
            </w:tcMar>
          </w:tcPr>
          <w:p w14:paraId="2DDFDE64"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Supplementary items must be cited in a consistent format throughout the main text and Supplementary Information. Names of items in the Supplementary file(s) must exactly match those used in the main manuscript. Please cite specific items of the Supplementary Information in the main text (such as Supplementary Figure 1), and not the Supplementary Information in its entirety.</w:t>
            </w:r>
          </w:p>
          <w:p w14:paraId="00635CC7" w14:textId="77777777" w:rsidR="0056525F" w:rsidRDefault="00000000">
            <w:pPr>
              <w:widowControl w:val="0"/>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We recommend using the following naming formats: Supplementary Figure 1, Supplementary Table 1, Supplementary Data 1, Supplementary Note 1, and Supplementary References.</w:t>
            </w:r>
          </w:p>
        </w:tc>
        <w:tc>
          <w:tcPr>
            <w:tcW w:w="1418" w:type="dxa"/>
            <w:shd w:val="clear" w:color="auto" w:fill="FFFFFF"/>
            <w:tcMar>
              <w:top w:w="100" w:type="dxa"/>
              <w:left w:w="100" w:type="dxa"/>
              <w:bottom w:w="100" w:type="dxa"/>
              <w:right w:w="100" w:type="dxa"/>
            </w:tcMar>
          </w:tcPr>
          <w:p w14:paraId="7EEAE57A" w14:textId="39112AB0" w:rsidR="0056525F" w:rsidRDefault="00791F88">
            <w:pPr>
              <w:widowControl w:val="0"/>
              <w:pBdr>
                <w:top w:val="nil"/>
                <w:left w:val="nil"/>
                <w:bottom w:val="nil"/>
                <w:right w:val="nil"/>
                <w:between w:val="nil"/>
              </w:pBdr>
              <w:rPr>
                <w:rFonts w:ascii="Calibri" w:eastAsia="Calibri" w:hAnsi="Calibri" w:cs="Calibri"/>
                <w:color w:val="000000"/>
                <w:sz w:val="20"/>
                <w:szCs w:val="20"/>
              </w:rPr>
            </w:pPr>
            <w:r>
              <w:rPr>
                <w:rFonts w:ascii="MS Gothic" w:eastAsia="MS Gothic" w:hAnsi="MS Gothic" w:cs="MS Gothic"/>
                <w:color w:val="000000"/>
                <w:sz w:val="20"/>
                <w:szCs w:val="20"/>
              </w:rPr>
              <w:t>X</w:t>
            </w:r>
          </w:p>
        </w:tc>
      </w:tr>
    </w:tbl>
    <w:p w14:paraId="06AA09DF" w14:textId="77777777" w:rsidR="0056525F" w:rsidRDefault="0056525F">
      <w:pPr>
        <w:widowControl w:val="0"/>
        <w:pBdr>
          <w:top w:val="nil"/>
          <w:left w:val="nil"/>
          <w:bottom w:val="nil"/>
          <w:right w:val="nil"/>
          <w:between w:val="nil"/>
        </w:pBdr>
      </w:pPr>
    </w:p>
    <w:sectPr w:rsidR="0056525F">
      <w:headerReference w:type="default" r:id="rId10"/>
      <w:pgSz w:w="16838" w:h="11906"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23F792" w14:textId="77777777" w:rsidR="00232B8E" w:rsidRDefault="00232B8E">
      <w:pPr>
        <w:spacing w:line="240" w:lineRule="auto"/>
      </w:pPr>
      <w:r>
        <w:separator/>
      </w:r>
    </w:p>
  </w:endnote>
  <w:endnote w:type="continuationSeparator" w:id="0">
    <w:p w14:paraId="06C04ABB" w14:textId="77777777" w:rsidR="00232B8E" w:rsidRDefault="00232B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6C7EE9B-8271-437B-A910-3EA7F42687EA}"/>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DB6A9150-CF97-4C43-B1CD-5911B57AC32D}"/>
    <w:embedBold r:id="rId3" w:fontKey="{0AE3C83F-6179-48D9-9618-2CA7FEDD4FB7}"/>
    <w:embedItalic r:id="rId4" w:fontKey="{E52CA1FA-363C-4DBB-9E9A-E6D33A476198}"/>
  </w:font>
  <w:font w:name="MS Gothic">
    <w:altName w:val="ＭＳ ゴシック"/>
    <w:panose1 w:val="020B0609070205080204"/>
    <w:charset w:val="80"/>
    <w:family w:val="modern"/>
    <w:pitch w:val="fixed"/>
    <w:sig w:usb0="E00002FF" w:usb1="6AC7FDFB" w:usb2="08000012" w:usb3="00000000" w:csb0="0002009F" w:csb1="00000000"/>
    <w:embedRegular r:id="rId5" w:subsetted="1" w:fontKey="{AC66EB18-381E-40BE-8288-89A58B7AB07B}"/>
  </w:font>
  <w:font w:name="Cambria">
    <w:panose1 w:val="02040503050406030204"/>
    <w:charset w:val="00"/>
    <w:family w:val="roman"/>
    <w:pitch w:val="variable"/>
    <w:sig w:usb0="E00006FF" w:usb1="420024FF" w:usb2="02000000" w:usb3="00000000" w:csb0="0000019F" w:csb1="00000000"/>
    <w:embedRegular r:id="rId6" w:fontKey="{E43D5E2A-22E6-4B15-B33A-BD8504998BD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A4AAE0" w14:textId="77777777" w:rsidR="00232B8E" w:rsidRDefault="00232B8E">
      <w:pPr>
        <w:spacing w:line="240" w:lineRule="auto"/>
      </w:pPr>
      <w:r>
        <w:separator/>
      </w:r>
    </w:p>
  </w:footnote>
  <w:footnote w:type="continuationSeparator" w:id="0">
    <w:p w14:paraId="08868EE1" w14:textId="77777777" w:rsidR="00232B8E" w:rsidRDefault="00232B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42595" w14:textId="77777777" w:rsidR="0056525F" w:rsidRDefault="00000000">
    <w:pPr>
      <w:pBdr>
        <w:top w:val="nil"/>
        <w:left w:val="nil"/>
        <w:bottom w:val="nil"/>
        <w:right w:val="nil"/>
        <w:between w:val="nil"/>
      </w:pBdr>
      <w:tabs>
        <w:tab w:val="center" w:pos="4680"/>
        <w:tab w:val="right" w:pos="9360"/>
      </w:tabs>
      <w:spacing w:line="240" w:lineRule="auto"/>
      <w:jc w:val="center"/>
      <w:rPr>
        <w:color w:val="000000"/>
      </w:rPr>
    </w:pPr>
    <w:r>
      <w:rPr>
        <w:noProof/>
      </w:rPr>
      <w:drawing>
        <wp:anchor distT="0" distB="0" distL="114300" distR="114300" simplePos="0" relativeHeight="251658240" behindDoc="0" locked="0" layoutInCell="1" hidden="0" allowOverlap="1" wp14:anchorId="1CB7600E" wp14:editId="41ECAD03">
          <wp:simplePos x="0" y="0"/>
          <wp:positionH relativeFrom="column">
            <wp:posOffset>6686654</wp:posOffset>
          </wp:positionH>
          <wp:positionV relativeFrom="paragraph">
            <wp:posOffset>-82549</wp:posOffset>
          </wp:positionV>
          <wp:extent cx="2176676" cy="541020"/>
          <wp:effectExtent l="0" t="0" r="0" b="0"/>
          <wp:wrapNone/>
          <wp:docPr id="2361632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76676" cy="541020"/>
                  </a:xfrm>
                  <a:prstGeom prst="rect">
                    <a:avLst/>
                  </a:prstGeom>
                  <a:ln/>
                </pic:spPr>
              </pic:pic>
            </a:graphicData>
          </a:graphic>
        </wp:anchor>
      </w:drawing>
    </w:r>
  </w:p>
  <w:p w14:paraId="29628904" w14:textId="77777777" w:rsidR="0056525F" w:rsidRDefault="0056525F">
    <w:pPr>
      <w:pBdr>
        <w:top w:val="nil"/>
        <w:left w:val="nil"/>
        <w:bottom w:val="nil"/>
        <w:right w:val="nil"/>
        <w:between w:val="nil"/>
      </w:pBdr>
      <w:tabs>
        <w:tab w:val="center" w:pos="4680"/>
        <w:tab w:val="right" w:pos="9360"/>
      </w:tabs>
      <w:spacing w:line="240" w:lineRule="auto"/>
      <w:jc w:val="center"/>
      <w:rPr>
        <w:color w:val="000000"/>
      </w:rPr>
    </w:pPr>
  </w:p>
  <w:p w14:paraId="442F27A8" w14:textId="77777777" w:rsidR="0056525F" w:rsidRDefault="0056525F">
    <w:pPr>
      <w:pBdr>
        <w:top w:val="nil"/>
        <w:left w:val="nil"/>
        <w:bottom w:val="nil"/>
        <w:right w:val="nil"/>
        <w:between w:val="nil"/>
      </w:pBdr>
      <w:tabs>
        <w:tab w:val="center" w:pos="4680"/>
        <w:tab w:val="right" w:pos="9360"/>
      </w:tabs>
      <w:spacing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B24FF4"/>
    <w:multiLevelType w:val="multilevel"/>
    <w:tmpl w:val="0066C6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84643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25F"/>
    <w:rsid w:val="001B6C1C"/>
    <w:rsid w:val="00232B8E"/>
    <w:rsid w:val="00336B8B"/>
    <w:rsid w:val="0033751E"/>
    <w:rsid w:val="004232F1"/>
    <w:rsid w:val="0056525F"/>
    <w:rsid w:val="007701C3"/>
    <w:rsid w:val="00791F88"/>
    <w:rsid w:val="00E36A40"/>
    <w:rsid w:val="00E709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4D547"/>
  <w15:docId w15:val="{684E7569-98B7-48F1-B8E2-8A067E800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61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A1E41"/>
    <w:rPr>
      <w:color w:val="0000FF" w:themeColor="hyperlink"/>
      <w:u w:val="single"/>
    </w:rPr>
  </w:style>
  <w:style w:type="character" w:styleId="UnresolvedMention">
    <w:name w:val="Unresolved Mention"/>
    <w:basedOn w:val="DefaultParagraphFont"/>
    <w:uiPriority w:val="99"/>
    <w:semiHidden/>
    <w:unhideWhenUsed/>
    <w:rsid w:val="003A1E41"/>
    <w:rPr>
      <w:color w:val="605E5C"/>
      <w:shd w:val="clear" w:color="auto" w:fill="E1DFDD"/>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B03F1"/>
    <w:pPr>
      <w:tabs>
        <w:tab w:val="center" w:pos="4680"/>
        <w:tab w:val="right" w:pos="9360"/>
      </w:tabs>
      <w:spacing w:line="240" w:lineRule="auto"/>
    </w:pPr>
  </w:style>
  <w:style w:type="character" w:customStyle="1" w:styleId="HeaderChar">
    <w:name w:val="Header Char"/>
    <w:basedOn w:val="DefaultParagraphFont"/>
    <w:link w:val="Header"/>
    <w:uiPriority w:val="99"/>
    <w:rsid w:val="003B03F1"/>
  </w:style>
  <w:style w:type="paragraph" w:styleId="Footer">
    <w:name w:val="footer"/>
    <w:basedOn w:val="Normal"/>
    <w:link w:val="FooterChar"/>
    <w:uiPriority w:val="99"/>
    <w:unhideWhenUsed/>
    <w:rsid w:val="003B03F1"/>
    <w:pPr>
      <w:tabs>
        <w:tab w:val="center" w:pos="4680"/>
        <w:tab w:val="right" w:pos="9360"/>
      </w:tabs>
      <w:spacing w:line="240" w:lineRule="auto"/>
    </w:pPr>
  </w:style>
  <w:style w:type="character" w:customStyle="1" w:styleId="FooterChar">
    <w:name w:val="Footer Char"/>
    <w:basedOn w:val="DefaultParagraphFont"/>
    <w:link w:val="Footer"/>
    <w:uiPriority w:val="99"/>
    <w:rsid w:val="003B03F1"/>
  </w:style>
  <w:style w:type="character" w:styleId="CommentReference">
    <w:name w:val="annotation reference"/>
    <w:basedOn w:val="DefaultParagraphFont"/>
    <w:uiPriority w:val="99"/>
    <w:semiHidden/>
    <w:unhideWhenUsed/>
    <w:rsid w:val="00F70D0A"/>
    <w:rPr>
      <w:sz w:val="16"/>
      <w:szCs w:val="16"/>
    </w:rPr>
  </w:style>
  <w:style w:type="paragraph" w:styleId="CommentText">
    <w:name w:val="annotation text"/>
    <w:basedOn w:val="Normal"/>
    <w:link w:val="CommentTextChar"/>
    <w:uiPriority w:val="99"/>
    <w:unhideWhenUsed/>
    <w:rsid w:val="00F70D0A"/>
    <w:pPr>
      <w:spacing w:line="240" w:lineRule="auto"/>
    </w:pPr>
    <w:rPr>
      <w:sz w:val="20"/>
      <w:szCs w:val="20"/>
    </w:rPr>
  </w:style>
  <w:style w:type="character" w:customStyle="1" w:styleId="CommentTextChar">
    <w:name w:val="Comment Text Char"/>
    <w:basedOn w:val="DefaultParagraphFont"/>
    <w:link w:val="CommentText"/>
    <w:uiPriority w:val="99"/>
    <w:rsid w:val="00F70D0A"/>
    <w:rPr>
      <w:sz w:val="20"/>
      <w:szCs w:val="20"/>
    </w:rPr>
  </w:style>
  <w:style w:type="paragraph" w:styleId="CommentSubject">
    <w:name w:val="annotation subject"/>
    <w:basedOn w:val="CommentText"/>
    <w:next w:val="CommentText"/>
    <w:link w:val="CommentSubjectChar"/>
    <w:uiPriority w:val="99"/>
    <w:semiHidden/>
    <w:unhideWhenUsed/>
    <w:rsid w:val="00F70D0A"/>
    <w:rPr>
      <w:b/>
      <w:bCs/>
    </w:rPr>
  </w:style>
  <w:style w:type="character" w:customStyle="1" w:styleId="CommentSubjectChar">
    <w:name w:val="Comment Subject Char"/>
    <w:basedOn w:val="CommentTextChar"/>
    <w:link w:val="CommentSubject"/>
    <w:uiPriority w:val="99"/>
    <w:semiHidden/>
    <w:rsid w:val="00F70D0A"/>
    <w:rPr>
      <w:b/>
      <w:bCs/>
      <w:sz w:val="20"/>
      <w:szCs w:val="20"/>
    </w:rPr>
  </w:style>
  <w:style w:type="paragraph" w:styleId="Revision">
    <w:name w:val="Revision"/>
    <w:hidden/>
    <w:uiPriority w:val="99"/>
    <w:semiHidden/>
    <w:rsid w:val="00AA63B2"/>
    <w:pPr>
      <w:spacing w:line="240" w:lineRule="auto"/>
    </w:pPr>
  </w:style>
  <w:style w:type="character" w:styleId="PlaceholderText">
    <w:name w:val="Placeholder Text"/>
    <w:basedOn w:val="DefaultParagraphFont"/>
    <w:uiPriority w:val="99"/>
    <w:semiHidden/>
    <w:rsid w:val="00E80D38"/>
    <w:rPr>
      <w:color w:val="666666"/>
    </w:rPr>
  </w:style>
  <w:style w:type="paragraph" w:styleId="ListParagraph">
    <w:name w:val="List Paragraph"/>
    <w:basedOn w:val="Normal"/>
    <w:uiPriority w:val="34"/>
    <w:qFormat/>
    <w:rsid w:val="00DA2610"/>
    <w:pPr>
      <w:ind w:left="720"/>
      <w:contextualSpacing/>
    </w:p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consort-statement.org/consort-201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tat.columbia.edu/~gelman/research/published/signif4.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JiOJJQ/5KFqdPfIi7DnGIoAFw==">CgMxLjA4AHIhMTFJY3VNektmTHlrV2NsbnRQTnNoZjJTYklJQVA4UnRx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Pages>
  <Words>2013</Words>
  <Characters>11477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Marike Schiffer</dc:creator>
  <cp:lastModifiedBy>Furl, Nicholas</cp:lastModifiedBy>
  <cp:revision>6</cp:revision>
  <dcterms:created xsi:type="dcterms:W3CDTF">2024-09-22T13:09:00Z</dcterms:created>
  <dcterms:modified xsi:type="dcterms:W3CDTF">2024-09-22T14:11:00Z</dcterms:modified>
</cp:coreProperties>
</file>