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Requirements Specification</w:t>
      </w:r>
    </w:p>
    <w:p>
      <w:pPr>
        <w:pStyle w:val="Heading2"/>
      </w:pPr>
      <w:r>
        <w:t>1.0 General Requirements</w:t>
      </w:r>
    </w:p>
    <w:p>
      <w:r>
        <w:t>REQ-101: The contractor shall deliver monthly status reports to the program office. Compliance shall be verified by inspection of delivered documents.</w:t>
      </w:r>
    </w:p>
    <w:p>
      <w:r>
        <w:t>The system shall provide real-time monitoring of all flight parameters during nominal and off-nominal operations.</w:t>
      </w:r>
    </w:p>
    <w:p>
      <w:r>
        <w:t>The contractor shall comply with all applicable safety requirements defined in the program standards.</w:t>
      </w:r>
    </w:p>
    <w:p>
      <w:r>
        <w:t>The software must handle all conditions during flight operations without degraded performance.</w:t>
      </w:r>
    </w:p>
    <w:p>
      <w:r>
        <w:t>The Systems Engineer shall ensure that every aspect of the design meets performance criteria established in the ICD.</w:t>
      </w:r>
    </w:p>
    <w:p>
      <w:r>
        <w:t>The operator shall perform all technical reviews as specified in the program management plan.</w:t>
      </w:r>
    </w:p>
    <w:p>
      <w:r>
        <w:t>The entire system must be operational within 30 seconds of power-on under normal environmental conditions.</w:t>
      </w:r>
    </w:p>
    <w:p>
      <w:r>
        <w:t>Various components should meet the specified performance tolerances as defined by the Chief Engineer.</w:t>
      </w:r>
    </w:p>
    <w:p>
      <w:r>
        <w:t>REQ-205: The system shall be verified by inspection to confirm that all interfaces comply with ICD-2000. Testing shall demonstrate interoperability.</w:t>
      </w:r>
    </w:p>
    <w:p>
      <w:r>
        <w:t>The Project Manager shall ensure all design documents are reviewed and approved before the preliminary design review milestone.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