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T:Alastair J. Sim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Willie Taylor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S:fr. Tony Brooker-Carey; Amble, Morpeth, Northumberland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O:Northumberland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A:Alnwick area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N:Many tunesmiths use first/second endings of a bar or two. Here, Willie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N:reverses that, opening each part w/ two identical bars, then making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N:6 bars of the repeat more flashy.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H:Willie Taylor was the fiddler in "The Shepherds", with Will Atkinson,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H:"moothie", and Joe Hutton, smallpipes. They gained fame in their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H:later years, traveling and recording to promulgate trad. Northumbrian music.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H:Taylor had written/published quite a few interesting, accesible tunes, most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H:included in The Alnwick Pipers' Tunebooks V. 1&amp;2. This one, however, hadn't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H:been published; his follower and documenter, Tony Brooker-Carey, sent a copy.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H:I went twice to the Alnwick Piper's sessions, hosted by Joe Hutton. The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H:second time, I missed Joe by a week or two; he'd headed for the chemist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H:to treat a "minor ailment" but dropped dead in the street. I attended his funeral.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Z:PLK 7/2021 from Taylor mss copy sent 1994 by Brooker-Carey.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c|"A1"BcdG2  B |DGBd2  d |DGB edB |c3</w:t>
        <w:tab/>
        <w:t xml:space="preserve">c2  B |!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ABcF2  A |DFAd2  d |DFA edc |B3   B2  c |]!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"A2"BcdG2  B |DGBd2  d |gfga2  g |e3   e3   |!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cde edc |gfg dcG |DFA cAF |G3   G2  D |]!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"B1"B2  B BAG |DG2   B3</w:t>
        <w:tab/>
        <w:t xml:space="preserve">|dcBc2  B |A3   A2  F |!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DFA ABc |f3   f2  e |ded ABc |B3   B2   D |]!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"B2"B2  B BAG |DG2   B3</w:t>
        <w:tab/>
        <w:t xml:space="preserve">|gfga2  g |e3   e3   |!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cee edc |gfg dBG |DFA cAF |G3   G2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