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T:Belle Riviere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C:Eric Favreau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S:as transcribed by Rachel AuCoin, 2009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H:Learned from Eric Favreau in his workshops at Fiddle Tunes 2019.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N:Sweet, Romantic Quebecois Jig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Z:abc's PLK 5/2020 frm pdf sent by Ms Aucoin in 2009.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"D"D3</w:t>
        <w:tab/>
        <w:t xml:space="preserve">DFD |ABA ABc|"D"d3   ded|"A7"cdc "G"BcB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"G (?Em)"E2  F GFE |"A7"c3-</w:t>
        <w:tab/>
        <w:t xml:space="preserve">c2B|"A7"AGA BAG |"D"FAd A3</w:t>
        <w:tab/>
        <w:t xml:space="preserve">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"D"D3</w:t>
        <w:tab/>
        <w:t xml:space="preserve">DFD |ABA ABc|"D"d3   ded|"A7"cBA e3</w:t>
        <w:tab/>
        <w:t xml:space="preserve">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"G"BABe2   B|"D"AFAd2  B |"A7"ABA GFE |"D"DFA d2  f 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"D"f2  ee2  d |d3   Ade |"D"fdf fdf |"G"gag B3 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"G"g3   gfe |"A7"c3   c2  B|"A7"AGA BAG |"D"FAd A2  f 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"D"f2  ee2  d |d3   Ade |"D"fdf fdf |"G"gag B3  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"G"g3   gfe |"D"a3</w:t>
        <w:tab/>
        <w:t xml:space="preserve">a2  f |"A7"gec ABc |"D"dAF D2   z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