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Boys of Antrim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Bob McQuillen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Rod Miller, Fiddle Tunes 1992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N:From Salmonberry "Book"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f2g|"D"a2  b a2g |faf d2 e |fgf e2 d |"G"B3   B2  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"G"ded dcB |"D"Ade fed |"Em"g3   "E7"fed|"A"e3   f2 g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  b a2g |faf d2 e |fgf e2 d |"G"B3   B2  c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"G"dcd ede |"D"f2  d A2  A |"Em"Bcd "A7"e2  c |"D"d3   D2  E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"Bm"F2  F "Em"EFG |"Bm"F2  D B,2  C |"Bm"DED "A"C2  A, |"Bm"B,3  B,2  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"Bm"DEF "A"EFG |"D"F2  B "G"BAB |"Em"cde "F#7"d2  c |"Bm"B3   "G"d2  B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"D"ABA FAB |A2  F "A"E2  E |"D"DEF "G"D2  B, |"A"A,3   "D"D2  E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"D"F2  B "Bm"BAB |"D"A2  F "Em"E2  E |"G"DED "A"C2  A, |"Bm"B,3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