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T:Cincinnati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S:Stuart Williams, WA Old Time Fiddlers Assoc.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N:This version differs substantially from the version in the New England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N:books. The tail lick of the "A" part is different, and there are notes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N:left out of the last line, giving more punctuation in the 4-chord run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Z:Stuart Williams in Washington Old Time Fiddlers Association workshops.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FE|"D"DAFA DAFA | dAfA eAfA| "A7"gAfA edcd| edcB AGFE 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"D"DAFA DAFA | dAfA eAfA| "A7"gfed cABc |"D"d2 {e}dc d2</w:t>
        <w:tab/>
        <w:t xml:space="preserve">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cd|"A"eAAA fAAA | "A"gAfA eAAA | "A"gAfA edcd | "A7"edcB AGFE 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"D"Ddd2   "A"cee2  | "D"dff2   "G"egg2 | "D"fgaf "A7"bgec|"D"d2 {e}dc d2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