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T:Clear The Tracks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C:© John Arcand (arr MBH, after Arcand workshop 2007)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S:Chords, Trent Bruner (arr JPF)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N:Copyright John Arcand, DOCAN 2006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H:Taught by John Arcand at his workshop at Arcand Fiddle Fest 07;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H:recorded by MBH; learned by ear from recording, then transcribed.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Z:abc's PLK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c|"C"egg {a}-gec|"F"fga "C"g2  f|"C"egg "Am (?A)"egg|"D!"fef "G"d2  f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"C"egg {a}-gec|"F"fga "C"g2  f|"C"ege "G"fdB|"C"c3-   c2  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|:D|"C"CEG cGE|CEG czf-|"C"egg {a}"C"gec|"G"Bdd dzD|!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"C"CEG cGE|CEG cze-|"F"fga {a}"C"gec|"G"Bcd  "C"c2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