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T:Cock O' The North,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O:Scots, but stolen/modified by "everyone"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original Scots pipe version has a G natural in bars A7 and B7, to match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pipe scale in A, which has no G#. In which case the chord (for playing w/ chorded backup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N:not pipe drones) should probably be a beat of G there. But Gnat is particularly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N:inconvenient for some button accordion players(depending on how many rows they have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N:and in what keys), so some traditions play a G#. The tune is also played in G,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N:with or without the F natural (available on a G/C anglo concertina or a G/C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N:button accordion, but not a G 1-row.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H:As a pipe tune this is the regimental march of the Gordon Highlanders, because the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H:Duke of Gordon was so powerful in the North East of Scotland that he was known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H:as the Cock of the North.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H:Otoh in New Hampshire, folks have been known to sing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H:"Dudley Laufman, Dudley Laufman, he is the Cawk of the Nahth".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H:And there's a well known drinking or bawdy song using this melody.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 + finger memory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e2 d|"A"c2  c cBA |cde "D"f2  e |"A"cdc cBA |"E"B3-  B ed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"A"cdc cBA |cde "D"f2  e |"A"cdc "E"BGB |"A"A3</w:t>
        <w:tab/>
        <w:t xml:space="preserve">:|]!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efg |"A"a2  e"D"f2  e |"A"a2  e"D"f2  e |"A"cdc cBA |"E"BcBB2  e 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"A"a2  e"D"f2  e |"A"a2  e"D"f2  e |"A"cdc "E"BGB |"A"A3   :|]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