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T:Cooley's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S:via Seattle flute player Craig Shaw, 2010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N:Various stories re tune origins, authorship;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N:e.g.  https://tunearch.org/wiki/Annotation:Cooley'27s_Reel_(1)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Craig Shaw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 EB-BA B2 AB | B2 AB dBAG | "D" FDAD BDAD | FDFA dAFD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"Em" EB-BA B2 AB |B2 AB defg |"D" af (3gfe "Bm"dBAF|1DEFD "Em" E3 B:|]2DEFD "Em" E2 gf|]!/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 "Em" eBBB eBgf | eBBB gedB |"D" A2 FA dAFA | DAFA defg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 eBBB eBgf | eBBB defg|"D" af (3gfe "Bm" dBAF |1DEFD "Em" E(gfg) :|]2DEFD "Em" E4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