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T:Corn Rigs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O:England, Ireland (Ulster), Scotland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B:NEFR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N:Makes a good first tune before Constitution Hornpipe in F.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N:D &gt;&gt; F is a greatly under-appreciated key change.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Z:abc's PLK 11/2021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"D"dcdef2  ed |"A"cBcd ecA2   |"D"dcde fgef |d2  a2  "A"a2  (3ABc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"D"dcdef2  ed |"A"cBcd ecA2   |"G"BcdB "A"edcB |"D"A2  d2  d2  (3ABc:|]!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"D"d2  a2  fga2  |"A"cBcd ecA2   |"D"d2  a2  fgef |da2  b "A"a2  (3ABc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"D"d2  a2  "G"bagf |"A"gfed cdeA |"G"BcdB "A"edcB |A2  "D"d2  d2  A2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