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T:Chesney Wold Quadrille Fig 5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C:Frank Green 1873, arr PLK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S:From the Aurora mss, republished V. Williams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R:hornpipe or schottische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O:Oregon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B:Aurora Manuscripts, Voyager Recordings 2020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N:Imo this may be called a quadrille, or even have been used as one in the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N:Aurora Colonies. But the sound is like an English/Scots borders hornpipe or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N:like a schottische. (1-2-3-hop or 1-2-3-glide)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D:Tunes from the Aurora Violin Mss. Voyager VRCD 383, #13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H:Chesney Wold is a fictional English great house in a Dickens novel of social class.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Z:PLK 11/2021 fr. markup of Aurora mss tunebook page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K:C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"Em"EFGAB2  e2   |"Am(C)"cBAc "Em"B2  G2   |"D"AGFA "Em"G2  E2  |"B7"F2  B2  B,4   |!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"Em"EFGAB2  e2   |"Am(C)"cBAc "Em"B2  G2   |"D"AGFA "Em"GFEG |"B7"F2  F2  E4    :|]!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"G"D2  G2  GAGF |"C"E2  A2  ABAG |"D"F2  D2  F2  d2  |"A"ed^cd "G"edBG |!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"G"D2  G2  GAGF |"C"E2  A2  ABAG |"D"F2  D2  F2  d2  |1"A"^cdef "G"gdBG/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:|]2"A"^cdef "G"g2  z2  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