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T:Washington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T:(if in A) Good for the Tongue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S:sources; see companion text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O:North English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A:Washington, County Durham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B:Kerr's First Collection of Merrie Melodies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 the Scottish and North-English hornpipe tradition, the syncopation isn't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N:arbitrary, but part of the tune, just as the notes are. Thus if Kerr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N:published different versions of the same bar, with and without syncopation,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N:he can be assumed to have "meant it".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H:This looks to me clearly like the antecedent of the U.S. tune Good for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H:Tongue, often said to derive from the Maine fiddler Otto Soper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9/2021, from copy of Kerr's First Collection,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Z:copied in Scotsbroome book.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K:B_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B&gt;cd&gt;e fBAB |g&gt;Ba&gt;B b&gt;AG&gt;A |G&gt;BF&gt;B E&gt;BD&gt;B |G&gt;ec&gt;A B&gt;AG&gt;F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B&gt;cd&gt;e fBAB |g&gt;Ba&gt;B b&gt;AG&gt;A |G&gt;BF&gt;B E&gt;BD&gt;B |G&gt;ec&gt;A B2  z2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fBAB gBAB |g&gt;fg&gt;a b&gt;ag&gt;f |b&gt;ag&gt;f e&gt;cc&gt;B |c&gt;ec&gt;A B&gt;AG&gt;F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B&gt;cd&gt;e fBAB |gBaB bBAB |G&gt;BF&gt;B E&gt;BD&gt;B |GecA B2  z2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