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T:Festival du Voyageurs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C:by Marcel Meilleur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S:version, different from Meilleur's, as played for contra dances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A:Lower Red River, nr Winnipeg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B:Original is in Marcel's bio/tunebook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N:This contradance version, which differs substantially from the tune as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N:Marcel Meilleur wrote and (later) published it, comes to the me from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N:three sources, all substantially identical in their differences from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N:Meilleur's original.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N:1. Mike Richardson, learned from Steve Hickman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N:2. Steve Trampe'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N:3. Stuart Williams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N:This leads to two hypotheses: Either there was a single source who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N:altered it from Marcel's original, and then spread it among contra and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N:OT musicians; or early in the life of the tune, someone (??DeJarlis)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N:had their way with it, and it barely ever spread in original form.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H:Marcel Meilleur was Andy De Jarlis' second fiddler in Andy's band.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H:Though he himself is entirely of French origins, rather than Metis as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H:was Andy, Marcel was one of the first musicians to support Winnipeg's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H:Festival du Voyagers - their winter carnival in celebration of the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H:early voyageurs in the fur trade. He has been given membership in the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H:Society of Voyageurs (The Metis decendents of the fur trade) for his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H:efforts. He is now deceased (date??,  decades after DeJarlis)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Z:abc's by Phil Katz 10/23/2005, based on Mike Richardson's transcription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Z:in early-mid 1980's.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K:ADor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a2  ab agef|g2  ga ge d2 |a2  ab ag  e2|dg2a  g4</w:t>
        <w:tab/>
        <w:t xml:space="preserve">|!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a2  ab agef|g2-  ga gedB|cABG AGE[EA]|GEDB,   A,4 </w:t>
        <w:tab/>
        <w:t xml:space="preserve">:|]!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|:E2  AB ceBe|ceBe cA  A2 |DGGF  G3   A|BGBd cBAG |!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E2  AB ceBe|ceBe cA  A2 |"F"=fedf "C"e2  ce|"G"dcBd "Am"cA  A2  :|]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% Output from ABC2Win  Version 2.1 f on 10/17/2012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