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T:Fisher Branch Reel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C:© Marcel Meilleur 1963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S:fr. Red River Echoes tunebook; lightly arr PLK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O:Manitoba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N:My arranging (apart from writing the tune in cut time)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N:is entirely in the tail lick and pickups to the "B" part.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N:I inserted slight pauses in the first beat of bars A4, A8,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N:and B8 eg DGG-G G2 for DGGG G2 in bar A8, 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N:better elucidate the phrase endings for contra dancers.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N:And whereas Meilleur used GDEF for the last beat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N:prior to the B1 and G2DE/F/ for the last beat prior 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N:the B2, I used the second formulation in both places.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N:My apologies to Mssr Meilleur's memory.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D:Sunshine CD501 Marcel Meilleur; 20 Original Fiddle Compositions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H:Meilleur wrote this for Fisher Branch MB, his birth-place. Such tunes are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H:often very impressive.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H:See a more substantial bio in the .rtf under his name.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Z:abc's PLK based on Meilleur's tunebook (set in cut time and with small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Z:adjustments in the pickups and tail licks)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ef|"G"g2 gb "C"agfe |"G"d2  Bd "D7"c2 Ac |"G"B2  G2 "D7"ABAG |"D7"FDD-DD2  ef |!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"G"g2  gb "C"agfe |"G"d2  Bd "D7"c2  Ac |"G"B2  G2  "D7"ABAF |"G"DGG-GG2   :|]!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DE/F/|"G"G2  Bd "C tr"c2  Ac |"G"BGBd  "C tr"c2  Ac |"G"BGBd dBGB |"D7"AGFE D2  DG/D/ |!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"G"G2  Bd "C tr"c2  Ac |"G"BGBd  "C tr"c2  Ac |"G"Bdef "C"gedc |"G"BGG-GG2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