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14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T:Grey Owl's Trip to Seattle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John Arcand, 1989; arr PLK for contradances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S:original: J. Arcand tune books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O:Red River Metis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N:I "squared off" the tune to 32 bars, dropping the one "extra" beat, and adding a bit more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N:"motion" in the chordwork. Thus I lost some of the French/Metis character but making it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N:usable for contra dancing.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D:Voice of the People" series, V.14; TSCD664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H:Original tune Grey Owl was composed by John Arcand July 2 1989, near Grey Owl Estates,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H:Christopher Lake, Sask. Named in honour of the famous naturalist in the Prince Albert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H:Nat'l Park. Grey Owl likely never travelled to Seattle; this is a deliberate "migration"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H:of the tune, and modifications substantial enough to suggest a modified title.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[|:DB,|"D"A,DDF ((3EFE) DB,|A,DDE "Bm"F2ED|"Em"EFGA BGE2|"Em"EFGA "G!"B2 Bd|!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"Bm"f3e fgfd|BcBA B2Ac|"G"BGBd "A"cAce|"D"d2[df][df] [d2f2]:|]!/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[|:fg|"D"abaf dAde|"Bm"fgfd B2BA|"Bm"FBBA Bcde|"Bm"fd[A2e2] "A"[A2e2]fg|!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"D"abaf dAde|"Bm"fgf"!"e "G!!"B2BA|"Bm"FBBA  Bcde|1"Bm"fd "A"e2 "D"d2:|]2"Bm"fd"A"ec "D"d2|]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X: 15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T:Grey Owl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C:by John Arcand, 1989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S:Original version with the "extra" beat in bar 4, per John Arcand tune book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O:Red River Metis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H:Grey Owl was composed by John Arcand July 2 1989, near Grey Owl Estates, Christopher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H:Lake, Sask. Named in honour of the famous naturalist in Prince Albert Nat'l Park.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[|:DB,|"D"A,DDF ((3EFE) DB,|A,DDE F2ED|"Em"EFGA BGE2|"Em"EFGA B2BA Bcde|!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"Bm"f3e fgfd|BcBA B2Ac|"G"BGBd "A"cAce|"D"d2[df][df] [d2f2]:|]!/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[|:fg|"D"abaf dAde|"Bm?"fgfd B2BA|"Bm"FBBA Bcde|"Bm"fd[A2e2] "A"[A2e2]fg|!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"D"abaf dAde|"Bm"fgfe B2BA|"Bm"FBBA  Bcde|1"Bm"fd "A"e2 "D"d2:|]2"Bm"fd"A"ec "D"d2|]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