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 Hole in the Hedge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N:The rest at the beginning of the "A" part is just to make tune "come out even" when there's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N:only a pickup in the "B" part, w/o using 1st &amp; 2nd endings in a tune that actually always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N:ends the same, in each part.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H:My G/C box version (all but one note on the C row), as played in Fresh Cider. I played this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H:"right hand only", so chords aren't included. You can find nice ones in Portland Coll. II,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H:whose version is very similar.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finally set abc's 2020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z|C2  E EDE |GED E2  D |C2  E EDE |GEC D2  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C2  E EDE |GEG c2  c |cde dcA|GEC D2 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G|c2  e dcA|GEG GAB |c2  e dcA |GEC D2  G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c2  e dcA |GEG GAB |cBc AcA |GEC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