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X:1984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T:Joe Derrane's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T:Fisherman's Lilt, The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T:The Lilting Fisherman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B/c/|dBG GBd|gfg ege|dBG GFG|AFD cBA|!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dBG GBd|gfg ege|dBG FGA|BGG G2:|]!/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F/G/|ABA AFA|fgf f2 e|dfe dcB|AFF F2 F|!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AFA AFA|BGB B2 d|cec ABc|dfe d2:|]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