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T:Johnny Murray of Lochee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C:©Johnny Hastings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S:Randy Miller, Fiddle Tunes 2006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N:Imo the chord progression in the second part, juxtaposed upon a clear open A major tune,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N:is absolutely gripping, to anyone who listens. The tune is a fine one, but the chord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N:progression is what "makes" it. Imo, play those chords as given.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N:On box, play the triplets as 3-note rolls going  one button above or below, keeping in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N:rhythm w/ the fiddler.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Z:Sande Gillette 2006; abc's PLK 11/2020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"A"EAAG A2  AF |EA (3AAA AcBA |"Bm"FBBA B2  Bc |"E"dcBA GBAF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"A"EAAG A2  AF |EA (3AAA AcBA |"D"cdcB "A"cecA |"E"GBed "A"cA (3AAA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"A"c2 (3ccc cBAB |"F#m"cAeA ceAc |"Bm"d2 (3ddd dcBA |"E" G2  gf edcB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"C#m"c2 (3ccc cBA|"F#"cAeA ceAc |"D"d2  cB "A"cecA |"E"GBed "A"cA (3AAA:|]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