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T:Korolenko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Jean Paul Loyer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Jigsaw CD "Cut Up the Floor"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N:One of the most emotive jigs there is; ideal for a dance w/ lots of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N:interaction, like heys and/or gipsies. And yet, it's all major. The IV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N:chord does the work. Some folks like to stick in Em for some/all of the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N:C chords; imo that misses the point - the intense sweetness of the IV.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BA|"G"G2   G GFG |DED DBA |"G"G2   G GFG |"C"G2   E EAB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"D"c2-</w:t>
        <w:tab/>
        <w:t xml:space="preserve">c cBc |d3-</w:t>
        <w:tab/>
        <w:t xml:space="preserve">d2   B |1"(Am, A7)"ABA AGA |"D"BGE D :|]2"D"AFE DBA |"G"G3-   G2   D|]!/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|:"C"E2-   EE2</w:t>
        <w:tab/>
        <w:t xml:space="preserve">D |E2   FG2   E |"G"DGG "(D)"AGA |"G"BAB dBG 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"C"E2-   EE2</w:t>
        <w:tab/>
        <w:t xml:space="preserve">D |E2   FG2   E |"G"DGG "D"FGA |1"D"BGF "G"GFD :|]2"D"BGF "G"G |]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% Output from ABC2Win  Version 2.1 f on 6/27/2016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