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6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T:Lorne Vineberg's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C:copyright John Arcand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John Arcand, Aug 2008, via Miche Baker-Harvey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D:CD: Meeyashin, by John Arcand 2007 or 2008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H:This was presented by John Arcand, at ArcandFest 2008, Pike Lake, SK outside Saskatoon.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Z:Hand transcription, Miche Baker-Harvey 9/12/2008. abc's 9/7/2009, PLK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Bc|d2  b2  c2  a2|B2  gf g2  Bd |cBAB cBce|dBGA B2   Bc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d2 b2 c2 a2|B2  gf g2  Bd |cBAG FGAF|G4-</w:t>
        <w:tab/>
        <w:t xml:space="preserve">G2  |]/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"bridge"a2  aa a2  a2  |a4</w:t>
        <w:tab/>
        <w:t xml:space="preserve">A2  G2  |]!/: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FAdf a2   fa|gfge B2   ed|cAEF GFGB|AFDE F2   AG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FAdf a2   fa |gfge B2   ed |ca-af gecA |d4-  </w:t>
        <w:tab/>
        <w:t xml:space="preserve">d2|]!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